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4" w:rsidRDefault="00802CA4" w:rsidP="00802CA4">
      <w:pPr>
        <w:widowControl w:val="0"/>
        <w:autoSpaceDE w:val="0"/>
        <w:autoSpaceDN w:val="0"/>
        <w:adjustRightInd w:val="0"/>
        <w:spacing w:after="0" w:line="240" w:lineRule="auto"/>
        <w:jc w:val="right"/>
        <w:outlineLvl w:val="0"/>
        <w:rPr>
          <w:rFonts w:cs="Calibri"/>
          <w:b/>
          <w:bCs/>
        </w:rPr>
      </w:pPr>
      <w:r>
        <w:rPr>
          <w:rFonts w:cs="Calibri"/>
          <w:b/>
          <w:bCs/>
        </w:rPr>
        <w:t>ПРАВИТЕЛЬСТВО РОССИЙСКОЙ ФЕДЕРАЦИИ</w:t>
      </w:r>
    </w:p>
    <w:p w:rsidR="00802CA4" w:rsidRDefault="00802CA4" w:rsidP="00802CA4">
      <w:pPr>
        <w:widowControl w:val="0"/>
        <w:autoSpaceDE w:val="0"/>
        <w:autoSpaceDN w:val="0"/>
        <w:adjustRightInd w:val="0"/>
        <w:spacing w:after="0" w:line="240" w:lineRule="auto"/>
        <w:jc w:val="right"/>
        <w:rPr>
          <w:rFonts w:cs="Calibri"/>
          <w:b/>
          <w:bCs/>
        </w:rPr>
      </w:pPr>
    </w:p>
    <w:p w:rsidR="00802CA4" w:rsidRDefault="00802CA4" w:rsidP="00802CA4">
      <w:pPr>
        <w:widowControl w:val="0"/>
        <w:autoSpaceDE w:val="0"/>
        <w:autoSpaceDN w:val="0"/>
        <w:adjustRightInd w:val="0"/>
        <w:spacing w:after="0" w:line="240" w:lineRule="auto"/>
        <w:jc w:val="right"/>
        <w:rPr>
          <w:rFonts w:cs="Calibri"/>
          <w:b/>
          <w:bCs/>
        </w:rPr>
      </w:pPr>
      <w:r>
        <w:rPr>
          <w:rFonts w:cs="Calibri"/>
          <w:b/>
          <w:bCs/>
        </w:rPr>
        <w:t>ПОСТАНОВЛЕНИЕ</w:t>
      </w:r>
    </w:p>
    <w:p w:rsidR="00802CA4" w:rsidRDefault="00802CA4" w:rsidP="00802CA4">
      <w:pPr>
        <w:widowControl w:val="0"/>
        <w:autoSpaceDE w:val="0"/>
        <w:autoSpaceDN w:val="0"/>
        <w:adjustRightInd w:val="0"/>
        <w:spacing w:after="0" w:line="240" w:lineRule="auto"/>
        <w:jc w:val="right"/>
        <w:rPr>
          <w:rFonts w:cs="Calibri"/>
          <w:b/>
          <w:bCs/>
        </w:rPr>
      </w:pPr>
      <w:r>
        <w:rPr>
          <w:rFonts w:cs="Calibri"/>
          <w:b/>
          <w:bCs/>
        </w:rPr>
        <w:t>от 4 мая 2012 г. N 442</w:t>
      </w:r>
    </w:p>
    <w:p w:rsidR="00802CA4" w:rsidRDefault="00802CA4" w:rsidP="00802CA4">
      <w:pPr>
        <w:widowControl w:val="0"/>
        <w:autoSpaceDE w:val="0"/>
        <w:autoSpaceDN w:val="0"/>
        <w:adjustRightInd w:val="0"/>
        <w:spacing w:after="0" w:line="240" w:lineRule="auto"/>
        <w:jc w:val="right"/>
        <w:rPr>
          <w:rFonts w:cs="Calibri"/>
          <w:b/>
          <w:bCs/>
        </w:rPr>
      </w:pPr>
    </w:p>
    <w:p w:rsidR="00802CA4" w:rsidRDefault="00802CA4" w:rsidP="00802CA4">
      <w:pPr>
        <w:widowControl w:val="0"/>
        <w:autoSpaceDE w:val="0"/>
        <w:autoSpaceDN w:val="0"/>
        <w:adjustRightInd w:val="0"/>
        <w:spacing w:after="0" w:line="240" w:lineRule="auto"/>
        <w:jc w:val="right"/>
        <w:rPr>
          <w:rFonts w:cs="Calibri"/>
          <w:b/>
          <w:bCs/>
        </w:rPr>
      </w:pPr>
      <w:r>
        <w:rPr>
          <w:rFonts w:cs="Calibri"/>
          <w:b/>
          <w:bCs/>
        </w:rPr>
        <w:t>О ФУНКЦИОНИРОВАНИИ</w:t>
      </w:r>
    </w:p>
    <w:p w:rsidR="00802CA4" w:rsidRDefault="00802CA4" w:rsidP="00802CA4">
      <w:pPr>
        <w:widowControl w:val="0"/>
        <w:autoSpaceDE w:val="0"/>
        <w:autoSpaceDN w:val="0"/>
        <w:adjustRightInd w:val="0"/>
        <w:spacing w:after="0" w:line="240" w:lineRule="auto"/>
        <w:jc w:val="right"/>
        <w:rPr>
          <w:rFonts w:cs="Calibri"/>
          <w:b/>
          <w:bCs/>
        </w:rPr>
      </w:pPr>
      <w:r>
        <w:rPr>
          <w:rFonts w:cs="Calibri"/>
          <w:b/>
          <w:bCs/>
        </w:rPr>
        <w:t>РОЗНИЧНЫХ РЫНКОВ ЭЛЕКТРИЧЕСКОЙ ЭНЕРГИИ, ПОЛНОМ</w:t>
      </w:r>
    </w:p>
    <w:p w:rsidR="00802CA4" w:rsidRDefault="00802CA4" w:rsidP="00802CA4">
      <w:pPr>
        <w:widowControl w:val="0"/>
        <w:autoSpaceDE w:val="0"/>
        <w:autoSpaceDN w:val="0"/>
        <w:adjustRightInd w:val="0"/>
        <w:spacing w:after="0" w:line="240" w:lineRule="auto"/>
        <w:jc w:val="right"/>
        <w:rPr>
          <w:rFonts w:cs="Calibri"/>
          <w:b/>
          <w:bCs/>
        </w:rPr>
      </w:pPr>
      <w:r>
        <w:rPr>
          <w:rFonts w:cs="Calibri"/>
          <w:b/>
          <w:bCs/>
        </w:rPr>
        <w:t>И (ИЛИ) ЧАСТИЧНОМ ОГРАНИЧЕНИИ РЕЖИМА ПОТРЕБЛЕНИЯ</w:t>
      </w:r>
    </w:p>
    <w:p w:rsidR="00802CA4" w:rsidRDefault="00802CA4" w:rsidP="00802CA4">
      <w:pPr>
        <w:widowControl w:val="0"/>
        <w:autoSpaceDE w:val="0"/>
        <w:autoSpaceDN w:val="0"/>
        <w:adjustRightInd w:val="0"/>
        <w:spacing w:after="0" w:line="240" w:lineRule="auto"/>
        <w:jc w:val="right"/>
        <w:outlineLvl w:val="1"/>
        <w:rPr>
          <w:rFonts w:cs="Calibri"/>
        </w:rPr>
      </w:pPr>
      <w:r>
        <w:rPr>
          <w:rFonts w:cs="Calibri"/>
          <w:b/>
          <w:bCs/>
        </w:rPr>
        <w:t>ЭЛЕКТРИЧЕСКОЙ ЭНЕРГИИ</w:t>
      </w:r>
    </w:p>
    <w:p w:rsidR="00802CA4" w:rsidRDefault="00802CA4" w:rsidP="00802CA4">
      <w:pPr>
        <w:widowControl w:val="0"/>
        <w:autoSpaceDE w:val="0"/>
        <w:autoSpaceDN w:val="0"/>
        <w:adjustRightInd w:val="0"/>
        <w:spacing w:after="0" w:line="240" w:lineRule="auto"/>
        <w:jc w:val="center"/>
        <w:outlineLvl w:val="1"/>
        <w:rPr>
          <w:rFonts w:cs="Calibri"/>
        </w:rPr>
      </w:pPr>
    </w:p>
    <w:p w:rsidR="00802CA4" w:rsidRDefault="00802CA4" w:rsidP="00802CA4">
      <w:pPr>
        <w:widowControl w:val="0"/>
        <w:autoSpaceDE w:val="0"/>
        <w:autoSpaceDN w:val="0"/>
        <w:adjustRightInd w:val="0"/>
        <w:spacing w:after="0" w:line="240" w:lineRule="auto"/>
        <w:jc w:val="center"/>
        <w:outlineLvl w:val="1"/>
        <w:rPr>
          <w:rFonts w:cs="Calibri"/>
        </w:rPr>
      </w:pPr>
    </w:p>
    <w:p w:rsidR="00802CA4" w:rsidRDefault="00802CA4" w:rsidP="00802CA4">
      <w:pPr>
        <w:widowControl w:val="0"/>
        <w:autoSpaceDE w:val="0"/>
        <w:autoSpaceDN w:val="0"/>
        <w:adjustRightInd w:val="0"/>
        <w:spacing w:after="0" w:line="240" w:lineRule="auto"/>
        <w:jc w:val="center"/>
        <w:outlineLvl w:val="1"/>
        <w:rPr>
          <w:rFonts w:cs="Calibri"/>
        </w:rPr>
      </w:pPr>
      <w:r>
        <w:rPr>
          <w:rFonts w:cs="Calibri"/>
        </w:rPr>
        <w:t>X. Правила организации учета электрической энергии</w:t>
      </w:r>
    </w:p>
    <w:p w:rsidR="00802CA4" w:rsidRDefault="00802CA4" w:rsidP="00802CA4">
      <w:pPr>
        <w:widowControl w:val="0"/>
        <w:autoSpaceDE w:val="0"/>
        <w:autoSpaceDN w:val="0"/>
        <w:adjustRightInd w:val="0"/>
        <w:spacing w:after="0" w:line="240" w:lineRule="auto"/>
        <w:jc w:val="center"/>
        <w:rPr>
          <w:rFonts w:cs="Calibri"/>
        </w:rPr>
      </w:pPr>
      <w:r>
        <w:rPr>
          <w:rFonts w:cs="Calibri"/>
        </w:rPr>
        <w:t>на розничных рынках</w:t>
      </w:r>
    </w:p>
    <w:p w:rsidR="00802CA4" w:rsidRDefault="00802CA4" w:rsidP="00802CA4">
      <w:pPr>
        <w:widowControl w:val="0"/>
        <w:autoSpaceDE w:val="0"/>
        <w:autoSpaceDN w:val="0"/>
        <w:adjustRightInd w:val="0"/>
        <w:spacing w:after="0" w:line="240" w:lineRule="auto"/>
        <w:ind w:firstLine="540"/>
        <w:jc w:val="both"/>
        <w:rPr>
          <w:rFonts w:cs="Calibri"/>
        </w:rPr>
      </w:pP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ar1742" w:history="1">
        <w:r>
          <w:rPr>
            <w:rFonts w:cs="Calibri"/>
            <w:color w:val="0000FF"/>
          </w:rPr>
          <w:t>приложением N 3</w:t>
        </w:r>
      </w:hyperlink>
      <w:r>
        <w:rPr>
          <w:rFonts w:cs="Calibri"/>
        </w:rPr>
        <w:t>.</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bookmarkStart w:id="0" w:name="_GoBack"/>
      <w:bookmarkEnd w:id="0"/>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802CA4" w:rsidRDefault="00802CA4" w:rsidP="00802CA4">
      <w:pPr>
        <w:widowControl w:val="0"/>
        <w:autoSpaceDE w:val="0"/>
        <w:autoSpaceDN w:val="0"/>
        <w:adjustRightInd w:val="0"/>
        <w:spacing w:after="0" w:line="240" w:lineRule="auto"/>
        <w:ind w:firstLine="540"/>
        <w:jc w:val="both"/>
        <w:rPr>
          <w:rFonts w:cs="Calibri"/>
        </w:rPr>
      </w:pPr>
      <w:bookmarkStart w:id="1" w:name="Par969"/>
      <w:bookmarkEnd w:id="1"/>
      <w:r>
        <w:rPr>
          <w:rFonts w:cs="Calibri"/>
        </w:rP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802CA4" w:rsidRDefault="00802CA4" w:rsidP="00802CA4">
      <w:pPr>
        <w:widowControl w:val="0"/>
        <w:autoSpaceDE w:val="0"/>
        <w:autoSpaceDN w:val="0"/>
        <w:adjustRightInd w:val="0"/>
        <w:spacing w:after="0" w:line="240" w:lineRule="auto"/>
        <w:ind w:firstLine="540"/>
        <w:jc w:val="both"/>
        <w:rPr>
          <w:rFonts w:cs="Calibri"/>
        </w:rPr>
      </w:pPr>
      <w:bookmarkStart w:id="2" w:name="Par970"/>
      <w:bookmarkEnd w:id="2"/>
      <w:r>
        <w:rPr>
          <w:rFonts w:cs="Calibri"/>
        </w:rP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802CA4" w:rsidRDefault="00802CA4" w:rsidP="00802CA4">
      <w:pPr>
        <w:widowControl w:val="0"/>
        <w:autoSpaceDE w:val="0"/>
        <w:autoSpaceDN w:val="0"/>
        <w:adjustRightInd w:val="0"/>
        <w:spacing w:after="0" w:line="240" w:lineRule="auto"/>
        <w:ind w:firstLine="540"/>
        <w:jc w:val="both"/>
        <w:rPr>
          <w:rFonts w:cs="Calibri"/>
        </w:rPr>
      </w:pPr>
      <w:bookmarkStart w:id="3" w:name="Par972"/>
      <w:bookmarkEnd w:id="3"/>
      <w:r>
        <w:rPr>
          <w:rFonts w:cs="Calibri"/>
        </w:rPr>
        <w:t xml:space="preserve">139. Для учета электрической энергии, потребляемой потребителями, не указанными в </w:t>
      </w:r>
      <w:hyperlink w:anchor="Par970" w:history="1">
        <w:r>
          <w:rPr>
            <w:rFonts w:cs="Calibri"/>
            <w:color w:val="0000FF"/>
          </w:rPr>
          <w:t>пункте 138</w:t>
        </w:r>
      </w:hyperlink>
      <w:r>
        <w:rPr>
          <w:rFonts w:cs="Calibri"/>
        </w:rP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w:t>
      </w:r>
      <w:r>
        <w:rPr>
          <w:rFonts w:cs="Calibri"/>
        </w:rPr>
        <w:lastRenderedPageBreak/>
        <w:t>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(в ред. </w:t>
      </w:r>
      <w:hyperlink r:id="rId4" w:history="1">
        <w:r>
          <w:rPr>
            <w:rFonts w:cs="Calibri"/>
            <w:color w:val="0000FF"/>
          </w:rPr>
          <w:t>Постановления</w:t>
        </w:r>
      </w:hyperlink>
      <w:r>
        <w:rPr>
          <w:rFonts w:cs="Calibri"/>
        </w:rPr>
        <w:t xml:space="preserve"> Правительства РФ от 30.12.2012 N 1482)</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5" w:history="1">
        <w:r>
          <w:rPr>
            <w:rFonts w:cs="Calibri"/>
            <w:color w:val="0000FF"/>
          </w:rPr>
          <w:t>Правилами</w:t>
        </w:r>
      </w:hyperlink>
      <w:r>
        <w:rPr>
          <w:rFonts w:cs="Calibri"/>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ar972" w:history="1">
        <w:r>
          <w:rPr>
            <w:rFonts w:cs="Calibri"/>
            <w:color w:val="0000FF"/>
          </w:rPr>
          <w:t>пунктом 139</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bookmarkStart w:id="4" w:name="Par978"/>
      <w:bookmarkEnd w:id="4"/>
      <w:r>
        <w:rPr>
          <w:rFonts w:cs="Calibri"/>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(в ред. </w:t>
      </w:r>
      <w:hyperlink r:id="rId6" w:history="1">
        <w:r>
          <w:rPr>
            <w:rFonts w:cs="Calibri"/>
            <w:color w:val="0000FF"/>
          </w:rPr>
          <w:t>Постановления</w:t>
        </w:r>
      </w:hyperlink>
      <w:r>
        <w:rPr>
          <w:rFonts w:cs="Calibri"/>
        </w:rPr>
        <w:t xml:space="preserve"> Правительства РФ от 30.12.2012 N 1482)</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(в ред. </w:t>
      </w:r>
      <w:hyperlink r:id="rId7" w:history="1">
        <w:r>
          <w:rPr>
            <w:rFonts w:cs="Calibri"/>
            <w:color w:val="0000FF"/>
          </w:rPr>
          <w:t>Постановления</w:t>
        </w:r>
      </w:hyperlink>
      <w:r>
        <w:rPr>
          <w:rFonts w:cs="Calibri"/>
        </w:rPr>
        <w:t xml:space="preserve"> Правительства РФ от 23.01.2015 N 47)</w:t>
      </w:r>
    </w:p>
    <w:p w:rsidR="00802CA4" w:rsidRDefault="00802CA4" w:rsidP="00802CA4">
      <w:pPr>
        <w:widowControl w:val="0"/>
        <w:autoSpaceDE w:val="0"/>
        <w:autoSpaceDN w:val="0"/>
        <w:adjustRightInd w:val="0"/>
        <w:spacing w:after="0" w:line="240" w:lineRule="auto"/>
        <w:ind w:firstLine="540"/>
        <w:jc w:val="both"/>
        <w:rPr>
          <w:rFonts w:cs="Calibri"/>
        </w:rPr>
      </w:pPr>
      <w:bookmarkStart w:id="5" w:name="Par982"/>
      <w:bookmarkEnd w:id="5"/>
      <w:r>
        <w:rPr>
          <w:rFonts w:cs="Calibri"/>
        </w:rP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ar970" w:history="1">
        <w:r>
          <w:rPr>
            <w:rFonts w:cs="Calibri"/>
            <w:color w:val="0000FF"/>
          </w:rPr>
          <w:t>пунктах 138</w:t>
        </w:r>
      </w:hyperlink>
      <w:r>
        <w:rPr>
          <w:rFonts w:cs="Calibri"/>
        </w:rPr>
        <w:t xml:space="preserve">, </w:t>
      </w:r>
      <w:hyperlink w:anchor="Par972" w:history="1">
        <w:r>
          <w:rPr>
            <w:rFonts w:cs="Calibri"/>
            <w:color w:val="0000FF"/>
          </w:rPr>
          <w:t>139</w:t>
        </w:r>
      </w:hyperlink>
      <w:r>
        <w:rPr>
          <w:rFonts w:cs="Calibri"/>
        </w:rPr>
        <w:t xml:space="preserve"> и </w:t>
      </w:r>
      <w:hyperlink w:anchor="Par978" w:history="1">
        <w:r>
          <w:rPr>
            <w:rFonts w:cs="Calibri"/>
            <w:color w:val="0000FF"/>
          </w:rPr>
          <w:t>141</w:t>
        </w:r>
      </w:hyperlink>
      <w:r>
        <w:rPr>
          <w:rFonts w:cs="Calibri"/>
        </w:rP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ar972" w:history="1">
        <w:r>
          <w:rPr>
            <w:rFonts w:cs="Calibri"/>
            <w:color w:val="0000FF"/>
          </w:rPr>
          <w:t>пунктах 139</w:t>
        </w:r>
      </w:hyperlink>
      <w:r>
        <w:rPr>
          <w:rFonts w:cs="Calibri"/>
        </w:rPr>
        <w:t xml:space="preserve"> и </w:t>
      </w:r>
      <w:hyperlink w:anchor="Par978" w:history="1">
        <w:r>
          <w:rPr>
            <w:rFonts w:cs="Calibri"/>
            <w:color w:val="0000FF"/>
          </w:rPr>
          <w:t>141</w:t>
        </w:r>
      </w:hyperlink>
      <w:r>
        <w:rPr>
          <w:rFonts w:cs="Calibri"/>
        </w:rP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ar970" w:history="1">
        <w:r>
          <w:rPr>
            <w:rFonts w:cs="Calibri"/>
            <w:color w:val="0000FF"/>
          </w:rPr>
          <w:t>пунктах 138</w:t>
        </w:r>
      </w:hyperlink>
      <w:r>
        <w:rPr>
          <w:rFonts w:cs="Calibri"/>
        </w:rPr>
        <w:t xml:space="preserve">, </w:t>
      </w:r>
      <w:hyperlink w:anchor="Par972" w:history="1">
        <w:r>
          <w:rPr>
            <w:rFonts w:cs="Calibri"/>
            <w:color w:val="0000FF"/>
          </w:rPr>
          <w:t>139</w:t>
        </w:r>
      </w:hyperlink>
      <w:r>
        <w:rPr>
          <w:rFonts w:cs="Calibri"/>
        </w:rPr>
        <w:t xml:space="preserve"> и </w:t>
      </w:r>
      <w:hyperlink w:anchor="Par978" w:history="1">
        <w:r>
          <w:rPr>
            <w:rFonts w:cs="Calibri"/>
            <w:color w:val="0000FF"/>
          </w:rPr>
          <w:t>141</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Приборы учета класса точности ниже, чем указано в </w:t>
      </w:r>
      <w:hyperlink w:anchor="Par970" w:history="1">
        <w:r>
          <w:rPr>
            <w:rFonts w:cs="Calibri"/>
            <w:color w:val="0000FF"/>
          </w:rPr>
          <w:t>пункте 138</w:t>
        </w:r>
      </w:hyperlink>
      <w:r>
        <w:rPr>
          <w:rFonts w:cs="Calibri"/>
        </w:rP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w:t>
      </w:r>
      <w:r>
        <w:rPr>
          <w:rFonts w:cs="Calibri"/>
        </w:rPr>
        <w:lastRenderedPageBreak/>
        <w:t xml:space="preserve">приборы учета класса точности не ниже, чем указано в </w:t>
      </w:r>
      <w:hyperlink w:anchor="Par970" w:history="1">
        <w:r>
          <w:rPr>
            <w:rFonts w:cs="Calibri"/>
            <w:color w:val="0000FF"/>
          </w:rPr>
          <w:t>пункте 138</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bookmarkStart w:id="6" w:name="Par984"/>
      <w:bookmarkEnd w:id="6"/>
      <w:r>
        <w:rPr>
          <w:rFonts w:cs="Calibri"/>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bookmarkStart w:id="7" w:name="Par986"/>
      <w:bookmarkEnd w:id="7"/>
      <w:r>
        <w:rPr>
          <w:rFonts w:cs="Calibri"/>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w:t>
      </w:r>
      <w:r>
        <w:rPr>
          <w:rFonts w:cs="Calibri"/>
        </w:rPr>
        <w:lastRenderedPageBreak/>
        <w:t>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802CA4" w:rsidRDefault="00802CA4" w:rsidP="00802CA4">
      <w:pPr>
        <w:widowControl w:val="0"/>
        <w:autoSpaceDE w:val="0"/>
        <w:autoSpaceDN w:val="0"/>
        <w:adjustRightInd w:val="0"/>
        <w:spacing w:after="0" w:line="240" w:lineRule="auto"/>
        <w:ind w:firstLine="540"/>
        <w:jc w:val="both"/>
        <w:rPr>
          <w:rFonts w:cs="Calibri"/>
        </w:rPr>
      </w:pPr>
      <w:bookmarkStart w:id="8" w:name="Par988"/>
      <w:bookmarkEnd w:id="8"/>
      <w:r>
        <w:rPr>
          <w:rFonts w:cs="Calibri"/>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w:t>
      </w:r>
      <w:r>
        <w:rPr>
          <w:rFonts w:cs="Calibri"/>
        </w:rPr>
        <w:lastRenderedPageBreak/>
        <w:t>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Под установкой прибора учета для целей настоящего документа понимается монтаж прибора учета впервые в отношении точки поставки.</w:t>
      </w:r>
    </w:p>
    <w:p w:rsidR="00802CA4" w:rsidRDefault="00802CA4" w:rsidP="00802CA4">
      <w:pPr>
        <w:widowControl w:val="0"/>
        <w:autoSpaceDE w:val="0"/>
        <w:autoSpaceDN w:val="0"/>
        <w:adjustRightInd w:val="0"/>
        <w:spacing w:after="0" w:line="240" w:lineRule="auto"/>
        <w:ind w:firstLine="540"/>
        <w:jc w:val="both"/>
        <w:rPr>
          <w:rFonts w:cs="Calibri"/>
        </w:rPr>
      </w:pPr>
      <w:proofErr w:type="gramStart"/>
      <w:r>
        <w:rPr>
          <w:rFonts w:cs="Calibri"/>
        </w:rPr>
        <w:t>Под заменой прибора</w:t>
      </w:r>
      <w:proofErr w:type="gramEnd"/>
      <w:r>
        <w:rPr>
          <w:rFonts w:cs="Calibri"/>
        </w:rPr>
        <w:t xml:space="preserve"> учета для целей настоящего документа понимается монтаж прибора учета после демонтажа ранее установленного прибора учета в данной точке.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8" w:history="1">
        <w:r>
          <w:rPr>
            <w:rFonts w:cs="Calibri"/>
            <w:color w:val="0000FF"/>
          </w:rPr>
          <w:t>Правилами</w:t>
        </w:r>
      </w:hyperlink>
      <w:r>
        <w:rPr>
          <w:rFonts w:cs="Calibri"/>
        </w:rP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w:t>
      </w:r>
      <w:r>
        <w:rPr>
          <w:rFonts w:cs="Calibri"/>
        </w:rPr>
        <w:lastRenderedPageBreak/>
        <w:t>приборов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За исключением случаев, указанных в </w:t>
      </w:r>
      <w:hyperlink w:anchor="Par1007" w:history="1">
        <w:r>
          <w:rPr>
            <w:rFonts w:cs="Calibri"/>
            <w:color w:val="0000FF"/>
          </w:rPr>
          <w:t>пункте 148</w:t>
        </w:r>
      </w:hyperlink>
      <w:r>
        <w:rPr>
          <w:rFonts w:cs="Calibri"/>
        </w:rP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802CA4" w:rsidRDefault="00802CA4" w:rsidP="00802CA4">
      <w:pPr>
        <w:widowControl w:val="0"/>
        <w:autoSpaceDE w:val="0"/>
        <w:autoSpaceDN w:val="0"/>
        <w:adjustRightInd w:val="0"/>
        <w:spacing w:after="0" w:line="240" w:lineRule="auto"/>
        <w:ind w:firstLine="540"/>
        <w:jc w:val="both"/>
        <w:rPr>
          <w:rFonts w:cs="Calibri"/>
        </w:rPr>
      </w:pPr>
      <w:bookmarkStart w:id="9" w:name="Par1007"/>
      <w:bookmarkEnd w:id="9"/>
      <w:r>
        <w:rPr>
          <w:rFonts w:cs="Calibri"/>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ar1009" w:history="1">
        <w:r>
          <w:rPr>
            <w:rFonts w:cs="Calibri"/>
            <w:color w:val="0000FF"/>
          </w:rPr>
          <w:t>абзаце третьем</w:t>
        </w:r>
      </w:hyperlink>
      <w:r>
        <w:rPr>
          <w:rFonts w:cs="Calibri"/>
        </w:rPr>
        <w:t xml:space="preserve"> настоящего пункта;</w:t>
      </w:r>
    </w:p>
    <w:p w:rsidR="00802CA4" w:rsidRDefault="00802CA4" w:rsidP="00802CA4">
      <w:pPr>
        <w:widowControl w:val="0"/>
        <w:autoSpaceDE w:val="0"/>
        <w:autoSpaceDN w:val="0"/>
        <w:adjustRightInd w:val="0"/>
        <w:spacing w:after="0" w:line="240" w:lineRule="auto"/>
        <w:ind w:firstLine="540"/>
        <w:jc w:val="both"/>
        <w:rPr>
          <w:rFonts w:cs="Calibri"/>
        </w:rPr>
      </w:pPr>
      <w:bookmarkStart w:id="10" w:name="Par1009"/>
      <w:bookmarkEnd w:id="10"/>
      <w:r>
        <w:rPr>
          <w:rFonts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таком запросе должны быть указаны:</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реквизиты и контактные данные лица, направившего запрос, включая номер телефона;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w:t>
      </w:r>
      <w:r>
        <w:rPr>
          <w:rFonts w:cs="Calibri"/>
        </w:rPr>
        <w:lastRenderedPageBreak/>
        <w:t>комплексов и систем учета только в следующих случаях:</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w:t>
      </w:r>
      <w:proofErr w:type="gramStart"/>
      <w:r>
        <w:rPr>
          <w:rFonts w:cs="Calibri"/>
        </w:rPr>
        <w:t>и</w:t>
      </w:r>
      <w:proofErr w:type="gramEnd"/>
      <w:r>
        <w:rPr>
          <w:rFonts w:cs="Calibri"/>
        </w:rPr>
        <w:t xml:space="preserve">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bookmarkStart w:id="11" w:name="Par1022"/>
      <w:bookmarkEnd w:id="11"/>
      <w:r>
        <w:rPr>
          <w:rFonts w:cs="Calibri"/>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Заявка должна содержать сведения, указанные в </w:t>
      </w:r>
      <w:hyperlink w:anchor="Par1064" w:history="1">
        <w:r>
          <w:rPr>
            <w:rFonts w:cs="Calibri"/>
            <w:color w:val="0000FF"/>
          </w:rPr>
          <w:t>абзацах пятом</w:t>
        </w:r>
      </w:hyperlink>
      <w:r>
        <w:rPr>
          <w:rFonts w:cs="Calibri"/>
        </w:rPr>
        <w:t xml:space="preserve"> - </w:t>
      </w:r>
      <w:hyperlink w:anchor="Par1066" w:history="1">
        <w:r>
          <w:rPr>
            <w:rFonts w:cs="Calibri"/>
            <w:color w:val="0000FF"/>
          </w:rPr>
          <w:t>седьмом</w:t>
        </w:r>
      </w:hyperlink>
      <w:r>
        <w:rPr>
          <w:rFonts w:cs="Calibri"/>
        </w:rPr>
        <w:t xml:space="preserve"> и </w:t>
      </w:r>
      <w:hyperlink w:anchor="Par1068" w:history="1">
        <w:r>
          <w:rPr>
            <w:rFonts w:cs="Calibri"/>
            <w:color w:val="0000FF"/>
          </w:rPr>
          <w:t>девятом пункта 153</w:t>
        </w:r>
      </w:hyperlink>
      <w:r>
        <w:rPr>
          <w:rFonts w:cs="Calibri"/>
        </w:rP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lastRenderedPageBreak/>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w:t>
      </w:r>
      <w:r>
        <w:rPr>
          <w:rFonts w:cs="Calibri"/>
        </w:rPr>
        <w:lastRenderedPageBreak/>
        <w:t>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9" w:history="1">
        <w:r>
          <w:rPr>
            <w:rFonts w:cs="Calibri"/>
            <w:color w:val="0000FF"/>
          </w:rPr>
          <w:t>статьей 13</w:t>
        </w:r>
      </w:hyperlink>
      <w:r>
        <w:rPr>
          <w:rFonts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10" w:history="1">
        <w:r>
          <w:rPr>
            <w:rFonts w:cs="Calibri"/>
            <w:color w:val="0000FF"/>
          </w:rPr>
          <w:t>части 12 статьи 13</w:t>
        </w:r>
      </w:hyperlink>
      <w:r>
        <w:rPr>
          <w:rFonts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w:t>
      </w:r>
      <w:r>
        <w:rPr>
          <w:rFonts w:cs="Calibri"/>
        </w:rPr>
        <w:lastRenderedPageBreak/>
        <w:t>определенный соглашением между ними, который составляет не более 2 месяцев.</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11" w:history="1">
        <w:r>
          <w:rPr>
            <w:rFonts w:cs="Calibri"/>
            <w:color w:val="0000FF"/>
          </w:rPr>
          <w:t>Правилами</w:t>
        </w:r>
      </w:hyperlink>
      <w:r>
        <w:rPr>
          <w:rFonts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(в ред. </w:t>
      </w:r>
      <w:hyperlink r:id="rId12" w:history="1">
        <w:r>
          <w:rPr>
            <w:rFonts w:cs="Calibri"/>
            <w:color w:val="0000FF"/>
          </w:rPr>
          <w:t>Постановления</w:t>
        </w:r>
      </w:hyperlink>
      <w:r>
        <w:rPr>
          <w:rFonts w:cs="Calibri"/>
        </w:rPr>
        <w:t xml:space="preserve"> Правительства РФ от 30.12.2012 N 1482)</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w:t>
      </w:r>
      <w:r>
        <w:rPr>
          <w:rFonts w:cs="Calibri"/>
        </w:rPr>
        <w:lastRenderedPageBreak/>
        <w:t>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13" w:history="1">
        <w:r>
          <w:rPr>
            <w:rFonts w:cs="Calibri"/>
            <w:color w:val="0000FF"/>
          </w:rPr>
          <w:t>Правилами</w:t>
        </w:r>
      </w:hyperlink>
      <w:r>
        <w:rPr>
          <w:rFonts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(в ред. </w:t>
      </w:r>
      <w:hyperlink r:id="rId14" w:history="1">
        <w:r>
          <w:rPr>
            <w:rFonts w:cs="Calibri"/>
            <w:color w:val="0000FF"/>
          </w:rPr>
          <w:t>Постановления</w:t>
        </w:r>
      </w:hyperlink>
      <w:r>
        <w:rPr>
          <w:rFonts w:cs="Calibri"/>
        </w:rPr>
        <w:t xml:space="preserve"> Правительства РФ от 30.12.2012 N 1482)</w:t>
      </w:r>
    </w:p>
    <w:p w:rsidR="00802CA4" w:rsidRDefault="00802CA4" w:rsidP="00802CA4">
      <w:pPr>
        <w:widowControl w:val="0"/>
        <w:autoSpaceDE w:val="0"/>
        <w:autoSpaceDN w:val="0"/>
        <w:adjustRightInd w:val="0"/>
        <w:spacing w:after="0" w:line="240" w:lineRule="auto"/>
        <w:ind w:firstLine="540"/>
        <w:jc w:val="both"/>
        <w:rPr>
          <w:rFonts w:cs="Calibri"/>
        </w:rPr>
      </w:pPr>
      <w:bookmarkStart w:id="12" w:name="Par1046"/>
      <w:bookmarkEnd w:id="12"/>
      <w:r>
        <w:rPr>
          <w:rFonts w:cs="Calibri"/>
        </w:rPr>
        <w:t>152. Установленный прибор учета должен быть допущен в эксплуатацию в порядке, установленном настоящим разделом.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Допуск установленного прибора учета в эксплуатацию должен быть осуществлен не позднее месяца, следующего за датой его установки.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Допуск установленного прибора учета в эксплуатацию осуществляется с участием уполномоченных представителей:</w:t>
      </w:r>
    </w:p>
    <w:p w:rsidR="00802CA4" w:rsidRDefault="00802CA4" w:rsidP="00802CA4">
      <w:pPr>
        <w:widowControl w:val="0"/>
        <w:autoSpaceDE w:val="0"/>
        <w:autoSpaceDN w:val="0"/>
        <w:adjustRightInd w:val="0"/>
        <w:spacing w:after="0" w:line="240" w:lineRule="auto"/>
        <w:ind w:firstLine="540"/>
        <w:jc w:val="both"/>
        <w:rPr>
          <w:rFonts w:cs="Calibri"/>
        </w:rPr>
      </w:pPr>
      <w:bookmarkStart w:id="13" w:name="Par1050"/>
      <w:bookmarkEnd w:id="13"/>
      <w:r>
        <w:rPr>
          <w:rFonts w:cs="Calibri"/>
        </w:rP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(в ред. </w:t>
      </w:r>
      <w:hyperlink r:id="rId15" w:history="1">
        <w:r>
          <w:rPr>
            <w:rFonts w:cs="Calibri"/>
            <w:color w:val="0000FF"/>
          </w:rPr>
          <w:t>Постановления</w:t>
        </w:r>
      </w:hyperlink>
      <w:r>
        <w:rPr>
          <w:rFonts w:cs="Calibri"/>
        </w:rPr>
        <w:t xml:space="preserve"> Правительства РФ от 10.02.2014 N 95)</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16" w:history="1">
        <w:r>
          <w:rPr>
            <w:rFonts w:cs="Calibri"/>
            <w:color w:val="0000FF"/>
          </w:rPr>
          <w:t>Правилами</w:t>
        </w:r>
      </w:hyperlink>
      <w:r>
        <w:rPr>
          <w:rFonts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(в ред. </w:t>
      </w:r>
      <w:hyperlink r:id="rId17" w:history="1">
        <w:r>
          <w:rPr>
            <w:rFonts w:cs="Calibri"/>
            <w:color w:val="0000FF"/>
          </w:rPr>
          <w:t>Постановления</w:t>
        </w:r>
      </w:hyperlink>
      <w:r>
        <w:rPr>
          <w:rFonts w:cs="Calibri"/>
        </w:rPr>
        <w:t xml:space="preserve"> Правительства РФ от 10.02.2014 N 95)</w:t>
      </w:r>
    </w:p>
    <w:p w:rsidR="00802CA4" w:rsidRDefault="00802CA4" w:rsidP="00802CA4">
      <w:pPr>
        <w:widowControl w:val="0"/>
        <w:autoSpaceDE w:val="0"/>
        <w:autoSpaceDN w:val="0"/>
        <w:adjustRightInd w:val="0"/>
        <w:spacing w:after="0" w:line="240" w:lineRule="auto"/>
        <w:ind w:firstLine="540"/>
        <w:jc w:val="both"/>
        <w:rPr>
          <w:rFonts w:cs="Calibri"/>
        </w:rPr>
      </w:pPr>
      <w:bookmarkStart w:id="14" w:name="Par1054"/>
      <w:bookmarkEnd w:id="14"/>
      <w:r>
        <w:rPr>
          <w:rFonts w:cs="Calibri"/>
        </w:rPr>
        <w:t xml:space="preserve">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w:t>
      </w:r>
      <w:r>
        <w:rPr>
          <w:rFonts w:cs="Calibri"/>
        </w:rPr>
        <w:lastRenderedPageBreak/>
        <w:t>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собственника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bookmarkStart w:id="15" w:name="Par1056"/>
      <w:bookmarkEnd w:id="15"/>
      <w:r>
        <w:rPr>
          <w:rFonts w:cs="Calibri"/>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18" w:history="1">
        <w:r>
          <w:rPr>
            <w:rFonts w:cs="Calibri"/>
            <w:color w:val="0000FF"/>
          </w:rPr>
          <w:t>Правилами</w:t>
        </w:r>
      </w:hyperlink>
      <w:r>
        <w:rPr>
          <w:rFonts w:cs="Calibri"/>
        </w:rPr>
        <w:t xml:space="preserve"> предоставления коммунальных услуг собственникам и пользователям помещений в многоквартирных домах и жилых домов.</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802CA4" w:rsidRDefault="00802CA4" w:rsidP="00802CA4">
      <w:pPr>
        <w:widowControl w:val="0"/>
        <w:autoSpaceDE w:val="0"/>
        <w:autoSpaceDN w:val="0"/>
        <w:adjustRightInd w:val="0"/>
        <w:spacing w:after="0" w:line="240" w:lineRule="auto"/>
        <w:ind w:firstLine="540"/>
        <w:jc w:val="both"/>
        <w:rPr>
          <w:rFonts w:cs="Calibri"/>
        </w:rPr>
      </w:pPr>
      <w:bookmarkStart w:id="16" w:name="Par1060"/>
      <w:bookmarkEnd w:id="16"/>
      <w:r>
        <w:rPr>
          <w:rFonts w:cs="Calibri"/>
        </w:rP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802CA4" w:rsidRDefault="00802CA4" w:rsidP="00802CA4">
      <w:pPr>
        <w:widowControl w:val="0"/>
        <w:autoSpaceDE w:val="0"/>
        <w:autoSpaceDN w:val="0"/>
        <w:adjustRightInd w:val="0"/>
        <w:spacing w:after="0" w:line="240" w:lineRule="auto"/>
        <w:ind w:firstLine="540"/>
        <w:jc w:val="both"/>
        <w:rPr>
          <w:rFonts w:cs="Calibri"/>
        </w:rPr>
      </w:pPr>
      <w:bookmarkStart w:id="17" w:name="Par1061"/>
      <w:bookmarkEnd w:id="17"/>
      <w:r>
        <w:rPr>
          <w:rFonts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bookmarkStart w:id="18" w:name="Par1062"/>
      <w:bookmarkEnd w:id="18"/>
      <w:r>
        <w:rPr>
          <w:rFonts w:cs="Calibri"/>
        </w:rPr>
        <w:t xml:space="preserve">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w:t>
      </w:r>
      <w:r>
        <w:rPr>
          <w:rFonts w:cs="Calibri"/>
        </w:rPr>
        <w:lastRenderedPageBreak/>
        <w:t>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заявке должны быть указаны:</w:t>
      </w:r>
    </w:p>
    <w:p w:rsidR="00802CA4" w:rsidRDefault="00802CA4" w:rsidP="00802CA4">
      <w:pPr>
        <w:widowControl w:val="0"/>
        <w:autoSpaceDE w:val="0"/>
        <w:autoSpaceDN w:val="0"/>
        <w:adjustRightInd w:val="0"/>
        <w:spacing w:after="0" w:line="240" w:lineRule="auto"/>
        <w:ind w:firstLine="540"/>
        <w:jc w:val="both"/>
        <w:rPr>
          <w:rFonts w:cs="Calibri"/>
        </w:rPr>
      </w:pPr>
      <w:bookmarkStart w:id="19" w:name="Par1064"/>
      <w:bookmarkEnd w:id="19"/>
      <w:r>
        <w:rPr>
          <w:rFonts w:cs="Calibri"/>
        </w:rPr>
        <w:t>реквизиты заявителя;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802CA4" w:rsidRDefault="00802CA4" w:rsidP="00802CA4">
      <w:pPr>
        <w:widowControl w:val="0"/>
        <w:autoSpaceDE w:val="0"/>
        <w:autoSpaceDN w:val="0"/>
        <w:adjustRightInd w:val="0"/>
        <w:spacing w:after="0" w:line="240" w:lineRule="auto"/>
        <w:ind w:firstLine="540"/>
        <w:jc w:val="both"/>
        <w:rPr>
          <w:rFonts w:cs="Calibri"/>
        </w:rPr>
      </w:pPr>
      <w:bookmarkStart w:id="20" w:name="Par1066"/>
      <w:bookmarkEnd w:id="20"/>
      <w:r>
        <w:rPr>
          <w:rFonts w:cs="Calibri"/>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802CA4" w:rsidRDefault="00802CA4" w:rsidP="00802CA4">
      <w:pPr>
        <w:widowControl w:val="0"/>
        <w:autoSpaceDE w:val="0"/>
        <w:autoSpaceDN w:val="0"/>
        <w:adjustRightInd w:val="0"/>
        <w:spacing w:after="0" w:line="240" w:lineRule="auto"/>
        <w:ind w:firstLine="540"/>
        <w:jc w:val="both"/>
        <w:rPr>
          <w:rFonts w:cs="Calibri"/>
        </w:rPr>
      </w:pPr>
      <w:bookmarkStart w:id="21" w:name="Par1068"/>
      <w:bookmarkEnd w:id="21"/>
      <w:r>
        <w:rPr>
          <w:rFonts w:cs="Calibri"/>
        </w:rPr>
        <w:t>контактные данные, включая номер телефона;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ar1046" w:history="1">
        <w:r>
          <w:rPr>
            <w:rFonts w:cs="Calibri"/>
            <w:color w:val="0000FF"/>
          </w:rPr>
          <w:t>пунктом 152</w:t>
        </w:r>
      </w:hyperlink>
      <w:r>
        <w:rPr>
          <w:rFonts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ar1061" w:history="1">
        <w:r>
          <w:rPr>
            <w:rFonts w:cs="Calibri"/>
            <w:color w:val="0000FF"/>
          </w:rPr>
          <w:t>абзацах втором</w:t>
        </w:r>
      </w:hyperlink>
      <w:r>
        <w:rPr>
          <w:rFonts w:cs="Calibri"/>
        </w:rPr>
        <w:t xml:space="preserve"> или </w:t>
      </w:r>
      <w:hyperlink w:anchor="Par1062" w:history="1">
        <w:r>
          <w:rPr>
            <w:rFonts w:cs="Calibri"/>
            <w:color w:val="0000FF"/>
          </w:rPr>
          <w:t>третьем</w:t>
        </w:r>
      </w:hyperlink>
      <w:r>
        <w:rPr>
          <w:rFonts w:cs="Calibri"/>
        </w:rP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С даты направления указанных документов в адрес лица, указанного в </w:t>
      </w:r>
      <w:hyperlink w:anchor="Par1061" w:history="1">
        <w:r>
          <w:rPr>
            <w:rFonts w:cs="Calibri"/>
            <w:color w:val="0000FF"/>
          </w:rPr>
          <w:t>абзацах втором</w:t>
        </w:r>
      </w:hyperlink>
      <w:r>
        <w:rPr>
          <w:rFonts w:cs="Calibri"/>
        </w:rPr>
        <w:t xml:space="preserve"> или </w:t>
      </w:r>
      <w:hyperlink w:anchor="Par1062" w:history="1">
        <w:r>
          <w:rPr>
            <w:rFonts w:cs="Calibri"/>
            <w:color w:val="0000FF"/>
          </w:rPr>
          <w:t>третьем</w:t>
        </w:r>
      </w:hyperlink>
      <w:r>
        <w:rPr>
          <w:rFonts w:cs="Calibri"/>
        </w:rP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Если установка прибора учета, допуск в эксплуатацию которого планируется осуществить, </w:t>
      </w:r>
      <w:r>
        <w:rPr>
          <w:rFonts w:cs="Calibri"/>
        </w:rPr>
        <w:lastRenderedPageBreak/>
        <w:t>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ar1060" w:history="1">
        <w:r>
          <w:rPr>
            <w:rFonts w:cs="Calibri"/>
            <w:color w:val="0000FF"/>
          </w:rPr>
          <w:t>пунктом 153</w:t>
        </w:r>
      </w:hyperlink>
      <w:r>
        <w:rPr>
          <w:rFonts w:cs="Calibri"/>
        </w:rP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19" w:history="1">
        <w:r>
          <w:rPr>
            <w:rFonts w:cs="Calibri"/>
            <w:color w:val="0000FF"/>
          </w:rPr>
          <w:t>Правилами</w:t>
        </w:r>
      </w:hyperlink>
      <w:r>
        <w:rPr>
          <w:rFonts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Сетевая организация в порядке, предусмотренном </w:t>
      </w:r>
      <w:hyperlink w:anchor="Par1060" w:history="1">
        <w:r>
          <w:rPr>
            <w:rFonts w:cs="Calibri"/>
            <w:color w:val="0000FF"/>
          </w:rPr>
          <w:t>пунктом 153</w:t>
        </w:r>
      </w:hyperlink>
      <w:r>
        <w:rPr>
          <w:rFonts w:cs="Calibri"/>
        </w:rP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ar1046" w:history="1">
        <w:r>
          <w:rPr>
            <w:rFonts w:cs="Calibri"/>
            <w:color w:val="0000FF"/>
          </w:rPr>
          <w:t>пунктом 152</w:t>
        </w:r>
      </w:hyperlink>
      <w:r>
        <w:rPr>
          <w:rFonts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ar1060" w:history="1">
        <w:r>
          <w:rPr>
            <w:rFonts w:cs="Calibri"/>
            <w:color w:val="0000FF"/>
          </w:rPr>
          <w:t>пункте 153</w:t>
        </w:r>
      </w:hyperlink>
      <w:r>
        <w:rPr>
          <w:rFonts w:cs="Calibri"/>
        </w:rPr>
        <w:t xml:space="preserve"> настоящего документа, сетевая организация осуществляет действия, предусмотренные </w:t>
      </w:r>
      <w:hyperlink w:anchor="Par1060" w:history="1">
        <w:r>
          <w:rPr>
            <w:rFonts w:cs="Calibri"/>
            <w:color w:val="0000FF"/>
          </w:rPr>
          <w:t>пунктами 153</w:t>
        </w:r>
      </w:hyperlink>
      <w:r>
        <w:rPr>
          <w:rFonts w:cs="Calibri"/>
        </w:rPr>
        <w:t xml:space="preserve"> и </w:t>
      </w:r>
      <w:hyperlink w:anchor="Par1080" w:history="1">
        <w:r>
          <w:rPr>
            <w:rFonts w:cs="Calibri"/>
            <w:color w:val="0000FF"/>
          </w:rPr>
          <w:t>154</w:t>
        </w:r>
      </w:hyperlink>
      <w:r>
        <w:rPr>
          <w:rFonts w:cs="Calibri"/>
        </w:rPr>
        <w:t xml:space="preserve"> настоящего документа, завершающие процедуру ввода в эксплуатацию прибора учета.</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(п. 153(1) введен </w:t>
      </w:r>
      <w:hyperlink r:id="rId20" w:history="1">
        <w:r>
          <w:rPr>
            <w:rFonts w:cs="Calibri"/>
            <w:color w:val="0000FF"/>
          </w:rPr>
          <w:t>Постановлением</w:t>
        </w:r>
      </w:hyperlink>
      <w:r>
        <w:rPr>
          <w:rFonts w:cs="Calibri"/>
        </w:rPr>
        <w:t xml:space="preserve"> Правительства РФ от 10.02.2014 N 95)</w:t>
      </w:r>
    </w:p>
    <w:p w:rsidR="00802CA4" w:rsidRDefault="00802CA4" w:rsidP="00802CA4">
      <w:pPr>
        <w:widowControl w:val="0"/>
        <w:autoSpaceDE w:val="0"/>
        <w:autoSpaceDN w:val="0"/>
        <w:adjustRightInd w:val="0"/>
        <w:spacing w:after="0" w:line="240" w:lineRule="auto"/>
        <w:ind w:firstLine="540"/>
        <w:jc w:val="both"/>
        <w:rPr>
          <w:rFonts w:cs="Calibri"/>
        </w:rPr>
      </w:pPr>
      <w:bookmarkStart w:id="22" w:name="Par1080"/>
      <w:bookmarkEnd w:id="22"/>
      <w:r>
        <w:rPr>
          <w:rFonts w:cs="Calibri"/>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Контрольная пломба и (или) знаки визуального контроля устанавливаются сетевой </w:t>
      </w:r>
      <w:r>
        <w:rPr>
          <w:rFonts w:cs="Calibri"/>
        </w:rPr>
        <w:lastRenderedPageBreak/>
        <w:t>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дата, время и адрес проведения процедуры допуска прибора учета в эксплуатацию;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фамилия, имя и отчество уполномоченных представителей лиц, которые в соответствии с </w:t>
      </w:r>
      <w:hyperlink w:anchor="Par1046" w:history="1">
        <w:r>
          <w:rPr>
            <w:rFonts w:cs="Calibri"/>
            <w:color w:val="0000FF"/>
          </w:rPr>
          <w:t>пунктом 152</w:t>
        </w:r>
      </w:hyperlink>
      <w:r>
        <w:rPr>
          <w:rFonts w:cs="Calibri"/>
        </w:rP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лица, которые в соответствии с </w:t>
      </w:r>
      <w:hyperlink w:anchor="Par1046" w:history="1">
        <w:r>
          <w:rPr>
            <w:rFonts w:cs="Calibri"/>
            <w:color w:val="0000FF"/>
          </w:rPr>
          <w:t>пунктом 152</w:t>
        </w:r>
      </w:hyperlink>
      <w:r>
        <w:rPr>
          <w:rFonts w:cs="Calibri"/>
        </w:rPr>
        <w:t xml:space="preserve"> настоящего документа принимают участие в процедуре допуска прибора учета в эксплуатацию, но не принявшие в ней участие;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результаты проведения измерений в ходе процедуры допуска прибора учета в эксплуатацию (при наличии);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дата следующей поверки.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ar1050" w:history="1">
        <w:r>
          <w:rPr>
            <w:rFonts w:cs="Calibri"/>
            <w:color w:val="0000FF"/>
          </w:rPr>
          <w:t>абзацах пятом</w:t>
        </w:r>
      </w:hyperlink>
      <w:r>
        <w:rPr>
          <w:rFonts w:cs="Calibri"/>
        </w:rPr>
        <w:t xml:space="preserve">, </w:t>
      </w:r>
      <w:hyperlink w:anchor="Par1054" w:history="1">
        <w:r>
          <w:rPr>
            <w:rFonts w:cs="Calibri"/>
            <w:color w:val="0000FF"/>
          </w:rPr>
          <w:t>седьмом</w:t>
        </w:r>
      </w:hyperlink>
      <w:r>
        <w:rPr>
          <w:rFonts w:cs="Calibri"/>
        </w:rPr>
        <w:t xml:space="preserve"> - </w:t>
      </w:r>
      <w:hyperlink w:anchor="Par1056" w:history="1">
        <w:r>
          <w:rPr>
            <w:rFonts w:cs="Calibri"/>
            <w:color w:val="0000FF"/>
          </w:rPr>
          <w:t>девятом пункта 152</w:t>
        </w:r>
      </w:hyperlink>
      <w:r>
        <w:rPr>
          <w:rFonts w:cs="Calibri"/>
        </w:rPr>
        <w:t xml:space="preserve"> настоящего документа, которые приняли участие в процедуре допуска прибора учета в эксплуатацию.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неявки для участия в процедуре допуска прибора учета в эксплуатацию лиц из числа лиц, указанных в </w:t>
      </w:r>
      <w:hyperlink w:anchor="Par1046" w:history="1">
        <w:r>
          <w:rPr>
            <w:rFonts w:cs="Calibri"/>
            <w:color w:val="0000FF"/>
          </w:rPr>
          <w:t>пункте 152</w:t>
        </w:r>
      </w:hyperlink>
      <w:r>
        <w:rPr>
          <w:rFonts w:cs="Calibri"/>
        </w:rP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ar1046" w:history="1">
        <w:r>
          <w:rPr>
            <w:rFonts w:cs="Calibri"/>
            <w:color w:val="0000FF"/>
          </w:rPr>
          <w:t>пункте 152</w:t>
        </w:r>
      </w:hyperlink>
      <w:r>
        <w:rPr>
          <w:rFonts w:cs="Calibri"/>
        </w:rPr>
        <w:t xml:space="preserve"> настоящего документа, не явившимся для участия в процедуре допуска прибора учета в эксплуатацию.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lastRenderedPageBreak/>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155. Собственник прибора учета, если иное не установлено в </w:t>
      </w:r>
      <w:hyperlink w:anchor="Par988" w:history="1">
        <w:r>
          <w:rPr>
            <w:rFonts w:cs="Calibri"/>
            <w:color w:val="0000FF"/>
          </w:rPr>
          <w:t>пункте 145</w:t>
        </w:r>
      </w:hyperlink>
      <w:r>
        <w:rPr>
          <w:rFonts w:cs="Calibri"/>
        </w:rP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ar1022" w:history="1">
        <w:r>
          <w:rPr>
            <w:rFonts w:cs="Calibri"/>
            <w:color w:val="0000FF"/>
          </w:rPr>
          <w:t>пункте 149</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Результаты поверки прибора учета удостоверяются знаком поверки (поверительным клеймом) и (или) свидетельством о поверке.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802CA4" w:rsidRDefault="00802CA4" w:rsidP="00802CA4">
      <w:pPr>
        <w:widowControl w:val="0"/>
        <w:autoSpaceDE w:val="0"/>
        <w:autoSpaceDN w:val="0"/>
        <w:adjustRightInd w:val="0"/>
        <w:spacing w:after="0" w:line="240" w:lineRule="auto"/>
        <w:ind w:firstLine="540"/>
        <w:jc w:val="both"/>
        <w:rPr>
          <w:rFonts w:cs="Calibri"/>
        </w:rPr>
      </w:pPr>
      <w:bookmarkStart w:id="23" w:name="Par1104"/>
      <w:bookmarkEnd w:id="23"/>
      <w:r>
        <w:rPr>
          <w:rFonts w:cs="Calibri"/>
        </w:rPr>
        <w:t xml:space="preserve">156. Если приборы учета, соответствующие требованиям </w:t>
      </w:r>
      <w:hyperlink w:anchor="Par969" w:history="1">
        <w:r>
          <w:rPr>
            <w:rFonts w:cs="Calibri"/>
            <w:color w:val="0000FF"/>
          </w:rPr>
          <w:t>пункта 137</w:t>
        </w:r>
      </w:hyperlink>
      <w:r>
        <w:rPr>
          <w:rFonts w:cs="Calibri"/>
        </w:rP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802CA4" w:rsidRDefault="00802CA4" w:rsidP="00802CA4">
      <w:pPr>
        <w:widowControl w:val="0"/>
        <w:autoSpaceDE w:val="0"/>
        <w:autoSpaceDN w:val="0"/>
        <w:adjustRightInd w:val="0"/>
        <w:spacing w:after="0" w:line="240" w:lineRule="auto"/>
        <w:ind w:firstLine="540"/>
        <w:jc w:val="both"/>
        <w:rPr>
          <w:rFonts w:cs="Calibri"/>
        </w:rPr>
      </w:pPr>
      <w:bookmarkStart w:id="24" w:name="Par1105"/>
      <w:bookmarkEnd w:id="24"/>
      <w:r>
        <w:rPr>
          <w:rFonts w:cs="Calibri"/>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802CA4" w:rsidRDefault="00802CA4" w:rsidP="00802CA4">
      <w:pPr>
        <w:widowControl w:val="0"/>
        <w:autoSpaceDE w:val="0"/>
        <w:autoSpaceDN w:val="0"/>
        <w:adjustRightInd w:val="0"/>
        <w:spacing w:after="0" w:line="240" w:lineRule="auto"/>
        <w:ind w:firstLine="540"/>
        <w:jc w:val="both"/>
        <w:rPr>
          <w:rFonts w:cs="Calibri"/>
        </w:rPr>
      </w:pPr>
      <w:bookmarkStart w:id="25" w:name="Par1106"/>
      <w:bookmarkEnd w:id="25"/>
      <w:r>
        <w:rPr>
          <w:rFonts w:cs="Calibri"/>
        </w:rPr>
        <w:t xml:space="preserve">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w:t>
      </w:r>
      <w:r>
        <w:rPr>
          <w:rFonts w:cs="Calibri"/>
        </w:rPr>
        <w:lastRenderedPageBreak/>
        <w:t>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802CA4" w:rsidRDefault="00802CA4" w:rsidP="00802CA4">
      <w:pPr>
        <w:widowControl w:val="0"/>
        <w:autoSpaceDE w:val="0"/>
        <w:autoSpaceDN w:val="0"/>
        <w:adjustRightInd w:val="0"/>
        <w:spacing w:after="0" w:line="240" w:lineRule="auto"/>
        <w:ind w:firstLine="540"/>
        <w:jc w:val="both"/>
        <w:rPr>
          <w:rFonts w:cs="Calibri"/>
        </w:rPr>
      </w:pPr>
      <w:bookmarkStart w:id="26" w:name="Par1107"/>
      <w:bookmarkEnd w:id="26"/>
      <w:r>
        <w:rPr>
          <w:rFonts w:cs="Calibri"/>
        </w:rPr>
        <w:t xml:space="preserve">при равенстве условий, указанных в </w:t>
      </w:r>
      <w:hyperlink w:anchor="Par1105" w:history="1">
        <w:r>
          <w:rPr>
            <w:rFonts w:cs="Calibri"/>
            <w:color w:val="0000FF"/>
          </w:rPr>
          <w:t>абзацах втором</w:t>
        </w:r>
      </w:hyperlink>
      <w:r>
        <w:rPr>
          <w:rFonts w:cs="Calibri"/>
        </w:rPr>
        <w:t xml:space="preserve"> и </w:t>
      </w:r>
      <w:hyperlink w:anchor="Par1106" w:history="1">
        <w:r>
          <w:rPr>
            <w:rFonts w:cs="Calibri"/>
            <w:color w:val="0000FF"/>
          </w:rPr>
          <w:t>третьем</w:t>
        </w:r>
      </w:hyperlink>
      <w:r>
        <w:rPr>
          <w:rFonts w:cs="Calibri"/>
        </w:rP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при равенстве условий, указанных в </w:t>
      </w:r>
      <w:hyperlink w:anchor="Par1105" w:history="1">
        <w:r>
          <w:rPr>
            <w:rFonts w:cs="Calibri"/>
            <w:color w:val="0000FF"/>
          </w:rPr>
          <w:t>абзацах втором</w:t>
        </w:r>
      </w:hyperlink>
      <w:r>
        <w:rPr>
          <w:rFonts w:cs="Calibri"/>
        </w:rPr>
        <w:t xml:space="preserve"> - </w:t>
      </w:r>
      <w:hyperlink w:anchor="Par1107" w:history="1">
        <w:r>
          <w:rPr>
            <w:rFonts w:cs="Calibri"/>
            <w:color w:val="0000FF"/>
          </w:rPr>
          <w:t>четвертом</w:t>
        </w:r>
      </w:hyperlink>
      <w:r>
        <w:rPr>
          <w:rFonts w:cs="Calibri"/>
        </w:rP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157. Прибор учета, не выбранный в соответствии с </w:t>
      </w:r>
      <w:hyperlink w:anchor="Par1104" w:history="1">
        <w:r>
          <w:rPr>
            <w:rFonts w:cs="Calibri"/>
            <w:color w:val="0000FF"/>
          </w:rPr>
          <w:t>пунктом 156</w:t>
        </w:r>
      </w:hyperlink>
      <w:r>
        <w:rPr>
          <w:rFonts w:cs="Calibri"/>
        </w:rP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802CA4" w:rsidRDefault="00802CA4" w:rsidP="00802CA4">
      <w:pPr>
        <w:widowControl w:val="0"/>
        <w:autoSpaceDE w:val="0"/>
        <w:autoSpaceDN w:val="0"/>
        <w:adjustRightInd w:val="0"/>
        <w:spacing w:after="0" w:line="240" w:lineRule="auto"/>
        <w:ind w:firstLine="540"/>
        <w:jc w:val="both"/>
        <w:rPr>
          <w:rFonts w:cs="Calibri"/>
        </w:rPr>
      </w:pPr>
      <w:bookmarkStart w:id="27" w:name="Par1110"/>
      <w:bookmarkEnd w:id="27"/>
      <w:r>
        <w:rPr>
          <w:rFonts w:cs="Calibri"/>
        </w:rP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(в ред. </w:t>
      </w:r>
      <w:hyperlink r:id="rId21" w:history="1">
        <w:r>
          <w:rPr>
            <w:rFonts w:cs="Calibri"/>
            <w:color w:val="0000FF"/>
          </w:rPr>
          <w:t>Постановления</w:t>
        </w:r>
      </w:hyperlink>
      <w:r>
        <w:rPr>
          <w:rFonts w:cs="Calibri"/>
        </w:rPr>
        <w:t xml:space="preserve"> Правительства РФ от 30.12.2012 N 1482)</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w:t>
      </w:r>
      <w:r>
        <w:rPr>
          <w:rFonts w:cs="Calibri"/>
        </w:rPr>
        <w:lastRenderedPageBreak/>
        <w:t>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соглашении о порядке информационного обмена показаниями должны содержаться: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описание схемы сбора и передачи информации;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перечни точек, в отношении которых осуществляется обмен информацией;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формат и условия обмена информацией, в том числе порядок обмена информацией в случае выявления неисправностей в каналах связи;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сведения о лице, ответственном за обслуживание приборов учета.</w:t>
      </w:r>
    </w:p>
    <w:p w:rsidR="00802CA4" w:rsidRDefault="00802CA4" w:rsidP="00802CA4">
      <w:pPr>
        <w:widowControl w:val="0"/>
        <w:autoSpaceDE w:val="0"/>
        <w:autoSpaceDN w:val="0"/>
        <w:adjustRightInd w:val="0"/>
        <w:spacing w:after="0" w:line="240" w:lineRule="auto"/>
        <w:ind w:firstLine="540"/>
        <w:jc w:val="both"/>
        <w:rPr>
          <w:rFonts w:cs="Calibri"/>
        </w:rPr>
      </w:pPr>
      <w:bookmarkStart w:id="28" w:name="Par1121"/>
      <w:bookmarkEnd w:id="28"/>
      <w:r>
        <w:rPr>
          <w:rFonts w:cs="Calibri"/>
        </w:rP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(в ред. </w:t>
      </w:r>
      <w:hyperlink r:id="rId22" w:history="1">
        <w:r>
          <w:rPr>
            <w:rFonts w:cs="Calibri"/>
            <w:color w:val="0000FF"/>
          </w:rPr>
          <w:t>Постановления</w:t>
        </w:r>
      </w:hyperlink>
      <w:r>
        <w:rPr>
          <w:rFonts w:cs="Calibri"/>
        </w:rPr>
        <w:t xml:space="preserve"> Правительства РФ от 30.12.2012 N 1482)</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w:t>
      </w:r>
      <w:r>
        <w:rPr>
          <w:rFonts w:cs="Calibri"/>
        </w:rPr>
        <w:lastRenderedPageBreak/>
        <w:t>(энергосбытовой,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23" w:history="1">
        <w:r>
          <w:rPr>
            <w:rFonts w:cs="Calibri"/>
            <w:color w:val="0000FF"/>
          </w:rPr>
          <w:t>Правилами</w:t>
        </w:r>
      </w:hyperlink>
      <w:r>
        <w:rPr>
          <w:rFonts w:cs="Calibri"/>
        </w:rPr>
        <w:t xml:space="preserve"> предоставления коммунальных услуг собственникам и пользователям помещений в многоквартирных домах и жилых домов.</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ar1128" w:history="1">
        <w:r>
          <w:rPr>
            <w:rFonts w:cs="Calibri"/>
            <w:color w:val="0000FF"/>
          </w:rPr>
          <w:t>абзаце третьем</w:t>
        </w:r>
      </w:hyperlink>
      <w:r>
        <w:rPr>
          <w:rFonts w:cs="Calibri"/>
        </w:rP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ar1142" w:history="1">
        <w:r>
          <w:rPr>
            <w:rFonts w:cs="Calibri"/>
            <w:color w:val="0000FF"/>
          </w:rPr>
          <w:t>пунктом 166</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bookmarkStart w:id="29" w:name="Par1128"/>
      <w:bookmarkEnd w:id="29"/>
      <w:r>
        <w:rPr>
          <w:rFonts w:cs="Calibri"/>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24" w:history="1">
        <w:r>
          <w:rPr>
            <w:rFonts w:cs="Calibri"/>
            <w:color w:val="0000FF"/>
          </w:rPr>
          <w:t>Правилами</w:t>
        </w:r>
      </w:hyperlink>
      <w:r>
        <w:rPr>
          <w:rFonts w:cs="Calibri"/>
        </w:rP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25" w:history="1">
        <w:r>
          <w:rPr>
            <w:rFonts w:cs="Calibri"/>
            <w:color w:val="0000FF"/>
          </w:rPr>
          <w:t>Правилами</w:t>
        </w:r>
      </w:hyperlink>
      <w:r>
        <w:rPr>
          <w:rFonts w:cs="Calibri"/>
        </w:rPr>
        <w:t xml:space="preserve"> предоставления коммунальных услуг собственникам и пользователям помещений в многоквартирных домах и жилых домов, для случаев </w:t>
      </w:r>
      <w:r>
        <w:rPr>
          <w:rFonts w:cs="Calibri"/>
        </w:rPr>
        <w:lastRenderedPageBreak/>
        <w:t>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ar1121" w:history="1">
        <w:r>
          <w:rPr>
            <w:rFonts w:cs="Calibri"/>
            <w:color w:val="0000FF"/>
          </w:rPr>
          <w:t>пункте 161</w:t>
        </w:r>
      </w:hyperlink>
      <w:r>
        <w:rPr>
          <w:rFonts w:cs="Calibri"/>
        </w:rP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ar1121" w:history="1">
        <w:r>
          <w:rPr>
            <w:rFonts w:cs="Calibri"/>
            <w:color w:val="0000FF"/>
          </w:rPr>
          <w:t>пункте 161</w:t>
        </w:r>
      </w:hyperlink>
      <w:r>
        <w:rPr>
          <w:rFonts w:cs="Calibri"/>
        </w:rP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802CA4" w:rsidRDefault="00802CA4" w:rsidP="00802CA4">
      <w:pPr>
        <w:widowControl w:val="0"/>
        <w:autoSpaceDE w:val="0"/>
        <w:autoSpaceDN w:val="0"/>
        <w:adjustRightInd w:val="0"/>
        <w:spacing w:after="0" w:line="240" w:lineRule="auto"/>
        <w:ind w:firstLine="540"/>
        <w:jc w:val="both"/>
        <w:rPr>
          <w:rFonts w:cs="Calibri"/>
        </w:rPr>
      </w:pPr>
      <w:bookmarkStart w:id="30" w:name="Par1135"/>
      <w:bookmarkEnd w:id="30"/>
      <w:r>
        <w:rPr>
          <w:rFonts w:cs="Calibri"/>
        </w:rP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w:t>
      </w:r>
      <w:r>
        <w:rPr>
          <w:rFonts w:cs="Calibri"/>
        </w:rPr>
        <w:lastRenderedPageBreak/>
        <w:t xml:space="preserve">сетевых организаций), с учетом особенностей, предусмотренных </w:t>
      </w:r>
      <w:hyperlink w:anchor="Par986" w:history="1">
        <w:r>
          <w:rPr>
            <w:rFonts w:cs="Calibri"/>
            <w:color w:val="0000FF"/>
          </w:rPr>
          <w:t>пунктом 144</w:t>
        </w:r>
      </w:hyperlink>
      <w:r>
        <w:rPr>
          <w:rFonts w:cs="Calibri"/>
        </w:rP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986" w:history="1">
        <w:r>
          <w:rPr>
            <w:rFonts w:cs="Calibri"/>
            <w:color w:val="0000FF"/>
          </w:rPr>
          <w:t>пунктами 144</w:t>
        </w:r>
      </w:hyperlink>
      <w:r>
        <w:rPr>
          <w:rFonts w:cs="Calibri"/>
        </w:rPr>
        <w:t xml:space="preserve"> и </w:t>
      </w:r>
      <w:hyperlink w:anchor="Par1110" w:history="1">
        <w:r>
          <w:rPr>
            <w:rFonts w:cs="Calibri"/>
            <w:color w:val="0000FF"/>
          </w:rPr>
          <w:t>158</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986" w:history="1">
        <w:r>
          <w:rPr>
            <w:rFonts w:cs="Calibri"/>
            <w:color w:val="0000FF"/>
          </w:rPr>
          <w:t>пунктом 144</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(п. 164 в ред. </w:t>
      </w:r>
      <w:hyperlink r:id="rId26" w:history="1">
        <w:r>
          <w:rPr>
            <w:rFonts w:cs="Calibri"/>
            <w:color w:val="0000FF"/>
          </w:rPr>
          <w:t>Постановления</w:t>
        </w:r>
      </w:hyperlink>
      <w:r>
        <w:rPr>
          <w:rFonts w:cs="Calibri"/>
        </w:rPr>
        <w:t xml:space="preserve"> Правительства РФ от 23.01.2015 N 47)</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bookmarkStart w:id="31" w:name="Par1142"/>
      <w:bookmarkEnd w:id="31"/>
      <w:r>
        <w:rPr>
          <w:rFonts w:cs="Calibri"/>
        </w:rP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w:t>
      </w:r>
      <w:r>
        <w:rPr>
          <w:rFonts w:cs="Calibri"/>
        </w:rPr>
        <w:lastRenderedPageBreak/>
        <w:t>энергию с которым используется ставка за мощность), с учетом следующих требований: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802CA4" w:rsidRDefault="00802CA4" w:rsidP="00802CA4">
      <w:pPr>
        <w:widowControl w:val="0"/>
        <w:autoSpaceDE w:val="0"/>
        <w:autoSpaceDN w:val="0"/>
        <w:adjustRightInd w:val="0"/>
        <w:spacing w:after="0" w:line="240" w:lineRule="auto"/>
        <w:ind w:firstLine="540"/>
        <w:jc w:val="both"/>
        <w:rPr>
          <w:rFonts w:cs="Calibri"/>
        </w:rPr>
      </w:pPr>
      <w:bookmarkStart w:id="32" w:name="Par1147"/>
      <w:bookmarkEnd w:id="32"/>
      <w:r>
        <w:rPr>
          <w:rFonts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ar720" w:history="1">
        <w:r>
          <w:rPr>
            <w:rFonts w:cs="Calibri"/>
            <w:color w:val="0000FF"/>
          </w:rPr>
          <w:t>пунктом 95</w:t>
        </w:r>
      </w:hyperlink>
      <w:r>
        <w:rPr>
          <w:rFonts w:cs="Calibri"/>
        </w:rPr>
        <w:t xml:space="preserve"> настоящего документа, в ценовых зонах (</w:t>
      </w:r>
      <w:hyperlink w:anchor="Par839" w:history="1">
        <w:r>
          <w:rPr>
            <w:rFonts w:cs="Calibri"/>
            <w:color w:val="0000FF"/>
          </w:rPr>
          <w:t>пунктом 111</w:t>
        </w:r>
      </w:hyperlink>
      <w:r>
        <w:rPr>
          <w:rFonts w:cs="Calibri"/>
        </w:rP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ar1147" w:history="1">
        <w:r>
          <w:rPr>
            <w:rFonts w:cs="Calibri"/>
            <w:color w:val="0000FF"/>
          </w:rPr>
          <w:t>абзацем шестым</w:t>
        </w:r>
      </w:hyperlink>
      <w:r>
        <w:rPr>
          <w:rFonts w:cs="Calibri"/>
        </w:rP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ar1147" w:history="1">
        <w:r>
          <w:rPr>
            <w:rFonts w:cs="Calibri"/>
            <w:color w:val="0000FF"/>
          </w:rPr>
          <w:t>абзацем шестым</w:t>
        </w:r>
      </w:hyperlink>
      <w:r>
        <w:rPr>
          <w:rFonts w:cs="Calibri"/>
        </w:rPr>
        <w:t xml:space="preserve"> настоящего пункта.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(абзац введен </w:t>
      </w:r>
      <w:hyperlink r:id="rId27" w:history="1">
        <w:r>
          <w:rPr>
            <w:rFonts w:cs="Calibri"/>
            <w:color w:val="0000FF"/>
          </w:rPr>
          <w:t>Постановлением</w:t>
        </w:r>
      </w:hyperlink>
      <w:r>
        <w:rPr>
          <w:rFonts w:cs="Calibri"/>
        </w:rPr>
        <w:t xml:space="preserve"> Правительства РФ от 30.12.2012 N 1482)</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w:t>
      </w:r>
      <w:r>
        <w:rPr>
          <w:rFonts w:cs="Calibri"/>
        </w:rPr>
        <w:lastRenderedPageBreak/>
        <w:t>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(абзац введен </w:t>
      </w:r>
      <w:hyperlink r:id="rId28" w:history="1">
        <w:r>
          <w:rPr>
            <w:rFonts w:cs="Calibri"/>
            <w:color w:val="0000FF"/>
          </w:rPr>
          <w:t>Постановлением</w:t>
        </w:r>
      </w:hyperlink>
      <w:r>
        <w:rPr>
          <w:rFonts w:cs="Calibri"/>
        </w:rPr>
        <w:t xml:space="preserve"> Правительства РФ от 30.12.2012 N 1482)</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ar1750" w:history="1">
        <w:r>
          <w:rPr>
            <w:rFonts w:cs="Calibri"/>
            <w:color w:val="0000FF"/>
          </w:rPr>
          <w:t>подпунктом "а" пункта 1</w:t>
        </w:r>
      </w:hyperlink>
      <w:r>
        <w:rPr>
          <w:rFonts w:cs="Calibri"/>
        </w:rP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ar1772" w:history="1">
        <w:r>
          <w:rPr>
            <w:rFonts w:cs="Calibri"/>
            <w:color w:val="0000FF"/>
          </w:rPr>
          <w:t>подпунктом "б" пункта 1</w:t>
        </w:r>
      </w:hyperlink>
      <w:r>
        <w:rPr>
          <w:rFonts w:cs="Calibri"/>
        </w:rPr>
        <w:t xml:space="preserve"> приложения N 3 к настоящему документу.</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Максимальная мощность энергопринимающих устройств в точке поставки потребителя определяется в соответствии с </w:t>
      </w:r>
      <w:hyperlink w:anchor="Par1750" w:history="1">
        <w:r>
          <w:rPr>
            <w:rFonts w:cs="Calibri"/>
            <w:color w:val="0000FF"/>
          </w:rPr>
          <w:t>подпунктом "а" пункта 1</w:t>
        </w:r>
      </w:hyperlink>
      <w:r>
        <w:rPr>
          <w:rFonts w:cs="Calibri"/>
        </w:rPr>
        <w:t xml:space="preserve"> приложения N 3 к настоящему документу.</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bookmarkStart w:id="33" w:name="Par1159"/>
      <w:bookmarkEnd w:id="33"/>
      <w:r>
        <w:rPr>
          <w:rFonts w:cs="Calibri"/>
        </w:rP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w:t>
      </w:r>
      <w:r>
        <w:rPr>
          <w:rFonts w:cs="Calibri"/>
        </w:rPr>
        <w:lastRenderedPageBreak/>
        <w:t>организацией с другой сетевой организацией.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29" w:history="1">
        <w:r>
          <w:rPr>
            <w:rFonts w:cs="Calibri"/>
            <w:color w:val="0000FF"/>
          </w:rPr>
          <w:t>Правилами</w:t>
        </w:r>
      </w:hyperlink>
      <w:r>
        <w:rPr>
          <w:rFonts w:cs="Calibri"/>
        </w:rP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После этого сетевая организация повторно направляет потребителю (производителю </w:t>
      </w:r>
      <w:r>
        <w:rPr>
          <w:rFonts w:cs="Calibri"/>
        </w:rPr>
        <w:lastRenderedPageBreak/>
        <w:t xml:space="preserve">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ar1211" w:history="1">
        <w:r>
          <w:rPr>
            <w:rFonts w:cs="Calibri"/>
            <w:color w:val="0000FF"/>
          </w:rPr>
          <w:t>пунктом 178</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802CA4" w:rsidRDefault="00802CA4" w:rsidP="00802CA4">
      <w:pPr>
        <w:widowControl w:val="0"/>
        <w:autoSpaceDE w:val="0"/>
        <w:autoSpaceDN w:val="0"/>
        <w:adjustRightInd w:val="0"/>
        <w:spacing w:after="0" w:line="240" w:lineRule="auto"/>
        <w:ind w:firstLine="540"/>
        <w:jc w:val="both"/>
        <w:rPr>
          <w:rFonts w:cs="Calibri"/>
        </w:rPr>
      </w:pPr>
      <w:bookmarkStart w:id="34" w:name="Par1171"/>
      <w:bookmarkEnd w:id="34"/>
      <w:r>
        <w:rPr>
          <w:rFonts w:cs="Calibri"/>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w:t>
      </w:r>
      <w:proofErr w:type="gramStart"/>
      <w:r>
        <w:rPr>
          <w:rFonts w:cs="Calibri"/>
        </w:rPr>
        <w:t>случае</w:t>
      </w:r>
      <w:proofErr w:type="gramEnd"/>
      <w:r>
        <w:rPr>
          <w:rFonts w:cs="Calibri"/>
        </w:rPr>
        <w:t xml:space="preserve">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Соглашением между сетевой организацией и гарантирующим поставщиком (энергосбытовой, </w:t>
      </w:r>
      <w:r>
        <w:rPr>
          <w:rFonts w:cs="Calibri"/>
        </w:rPr>
        <w:lastRenderedPageBreak/>
        <w:t>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ar1182" w:history="1">
        <w:r>
          <w:rPr>
            <w:rFonts w:cs="Calibri"/>
            <w:color w:val="0000FF"/>
          </w:rPr>
          <w:t>пункте 173</w:t>
        </w:r>
      </w:hyperlink>
      <w:r>
        <w:rPr>
          <w:rFonts w:cs="Calibri"/>
        </w:rP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ar1182" w:history="1">
        <w:r>
          <w:rPr>
            <w:rFonts w:cs="Calibri"/>
            <w:color w:val="0000FF"/>
          </w:rPr>
          <w:t>пунктами 173</w:t>
        </w:r>
      </w:hyperlink>
      <w:r>
        <w:rPr>
          <w:rFonts w:cs="Calibri"/>
        </w:rPr>
        <w:t xml:space="preserve"> - </w:t>
      </w:r>
      <w:hyperlink w:anchor="Par1208" w:history="1">
        <w:r>
          <w:rPr>
            <w:rFonts w:cs="Calibri"/>
            <w:color w:val="0000FF"/>
          </w:rPr>
          <w:t>177</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30" w:history="1">
        <w:r>
          <w:rPr>
            <w:rFonts w:cs="Calibri"/>
            <w:color w:val="0000FF"/>
          </w:rPr>
          <w:t>Правилами</w:t>
        </w:r>
      </w:hyperlink>
      <w:r>
        <w:rPr>
          <w:rFonts w:cs="Calibri"/>
        </w:rP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802CA4" w:rsidRDefault="00802CA4" w:rsidP="00802CA4">
      <w:pPr>
        <w:widowControl w:val="0"/>
        <w:autoSpaceDE w:val="0"/>
        <w:autoSpaceDN w:val="0"/>
        <w:adjustRightInd w:val="0"/>
        <w:spacing w:after="0" w:line="240" w:lineRule="auto"/>
        <w:ind w:firstLine="540"/>
        <w:jc w:val="both"/>
        <w:rPr>
          <w:rFonts w:cs="Calibri"/>
        </w:rPr>
      </w:pPr>
      <w:bookmarkStart w:id="35" w:name="Par1182"/>
      <w:bookmarkEnd w:id="35"/>
      <w:r>
        <w:rPr>
          <w:rFonts w:cs="Calibri"/>
        </w:rPr>
        <w:t>173. Проверки расчетных приборов учета осуществляются в плановом и внеплановом порядке.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ar1189" w:history="1">
        <w:r>
          <w:rPr>
            <w:rFonts w:cs="Calibri"/>
            <w:color w:val="0000FF"/>
          </w:rPr>
          <w:t>пункте 174</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Основанием для проведения внеплановой проверки приборов учета является: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802CA4" w:rsidRDefault="00802CA4" w:rsidP="00802CA4">
      <w:pPr>
        <w:widowControl w:val="0"/>
        <w:autoSpaceDE w:val="0"/>
        <w:autoSpaceDN w:val="0"/>
        <w:adjustRightInd w:val="0"/>
        <w:spacing w:after="0" w:line="240" w:lineRule="auto"/>
        <w:ind w:firstLine="540"/>
        <w:jc w:val="both"/>
        <w:rPr>
          <w:rFonts w:cs="Calibri"/>
        </w:rPr>
      </w:pPr>
      <w:bookmarkStart w:id="36" w:name="Par1189"/>
      <w:bookmarkEnd w:id="36"/>
      <w:r>
        <w:rPr>
          <w:rFonts w:cs="Calibri"/>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lastRenderedPageBreak/>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175. Сетевая организация при получении указанного в </w:t>
      </w:r>
      <w:hyperlink w:anchor="Par1182" w:history="1">
        <w:r>
          <w:rPr>
            <w:rFonts w:cs="Calibri"/>
            <w:color w:val="0000FF"/>
          </w:rPr>
          <w:t>пункте 173</w:t>
        </w:r>
      </w:hyperlink>
      <w:r>
        <w:rPr>
          <w:rFonts w:cs="Calibri"/>
        </w:rP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акте проверки приборов учета должны быть указаны:</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дата, время и адрес проведения проверки, форма проверки и основание для проведения проверки;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лица, принявшие участие в проверке;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лица, приглашенные в соответствии с </w:t>
      </w:r>
      <w:hyperlink w:anchor="Par1171" w:history="1">
        <w:r>
          <w:rPr>
            <w:rFonts w:cs="Calibri"/>
            <w:color w:val="0000FF"/>
          </w:rPr>
          <w:t>пунктом 171</w:t>
        </w:r>
      </w:hyperlink>
      <w:r>
        <w:rPr>
          <w:rFonts w:cs="Calibri"/>
        </w:rPr>
        <w:t xml:space="preserve"> настоящего документа для участия в проверке, но не принявшие в ней участие;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результат проверки;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характеристики используемого при проведении проверки оборудования, в случае если проводится инструментальная проверка;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lastRenderedPageBreak/>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802CA4" w:rsidRDefault="00802CA4" w:rsidP="00802CA4">
      <w:pPr>
        <w:widowControl w:val="0"/>
        <w:autoSpaceDE w:val="0"/>
        <w:autoSpaceDN w:val="0"/>
        <w:adjustRightInd w:val="0"/>
        <w:spacing w:after="0" w:line="240" w:lineRule="auto"/>
        <w:ind w:firstLine="540"/>
        <w:jc w:val="both"/>
        <w:rPr>
          <w:rFonts w:cs="Calibri"/>
        </w:rPr>
      </w:pPr>
      <w:bookmarkStart w:id="37" w:name="Par1208"/>
      <w:bookmarkEnd w:id="37"/>
      <w:r>
        <w:rPr>
          <w:rFonts w:cs="Calibri"/>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802CA4" w:rsidRDefault="00802CA4" w:rsidP="00802CA4">
      <w:pPr>
        <w:widowControl w:val="0"/>
        <w:autoSpaceDE w:val="0"/>
        <w:autoSpaceDN w:val="0"/>
        <w:adjustRightInd w:val="0"/>
        <w:spacing w:after="0" w:line="240" w:lineRule="auto"/>
        <w:ind w:firstLine="540"/>
        <w:jc w:val="both"/>
        <w:rPr>
          <w:rFonts w:cs="Calibri"/>
        </w:rPr>
      </w:pPr>
      <w:bookmarkStart w:id="38" w:name="Par1211"/>
      <w:bookmarkEnd w:id="38"/>
      <w:r>
        <w:rPr>
          <w:rFonts w:cs="Calibri"/>
        </w:rP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ar1142" w:history="1">
        <w:r>
          <w:rPr>
            <w:rFonts w:cs="Calibri"/>
            <w:color w:val="0000FF"/>
          </w:rPr>
          <w:t>пунктом 166</w:t>
        </w:r>
      </w:hyperlink>
      <w:r>
        <w:rPr>
          <w:rFonts w:cs="Calibri"/>
        </w:rP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802CA4" w:rsidRDefault="00802CA4" w:rsidP="00802CA4">
      <w:pPr>
        <w:widowControl w:val="0"/>
        <w:autoSpaceDE w:val="0"/>
        <w:autoSpaceDN w:val="0"/>
        <w:adjustRightInd w:val="0"/>
        <w:spacing w:after="0" w:line="240" w:lineRule="auto"/>
        <w:ind w:firstLine="540"/>
        <w:jc w:val="both"/>
        <w:rPr>
          <w:rFonts w:cs="Calibri"/>
        </w:rPr>
      </w:pPr>
      <w:bookmarkStart w:id="39" w:name="Par1212"/>
      <w:bookmarkEnd w:id="39"/>
      <w:r>
        <w:rPr>
          <w:rFonts w:cs="Calibri"/>
        </w:rP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ar1142" w:history="1">
        <w:r>
          <w:rPr>
            <w:rFonts w:cs="Calibri"/>
            <w:color w:val="0000FF"/>
          </w:rPr>
          <w:t>пунктом 166</w:t>
        </w:r>
      </w:hyperlink>
      <w:r>
        <w:rPr>
          <w:rFonts w:cs="Calibri"/>
        </w:rPr>
        <w:t xml:space="preserve"> настоящего документа для случая непредоставления показаний прибора учета в установленные сроки.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с даты выхода расчетного прибора учета из строя и в течение одного расчетного периода после этого - в порядке, установленном </w:t>
      </w:r>
      <w:hyperlink w:anchor="Par1142" w:history="1">
        <w:r>
          <w:rPr>
            <w:rFonts w:cs="Calibri"/>
            <w:color w:val="0000FF"/>
          </w:rPr>
          <w:t>пунктом 166</w:t>
        </w:r>
      </w:hyperlink>
      <w:r>
        <w:rPr>
          <w:rFonts w:cs="Calibri"/>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последующие расчетные периоды вплоть до допуска расчетного прибора учета в эксплуатацию - в порядке, установленном </w:t>
      </w:r>
      <w:hyperlink w:anchor="Par1142" w:history="1">
        <w:r>
          <w:rPr>
            <w:rFonts w:cs="Calibri"/>
            <w:color w:val="0000FF"/>
          </w:rPr>
          <w:t>пунктом 166</w:t>
        </w:r>
      </w:hyperlink>
      <w:r>
        <w:rPr>
          <w:rFonts w:cs="Calibri"/>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w:t>
      </w:r>
      <w:r>
        <w:rPr>
          <w:rFonts w:cs="Calibri"/>
        </w:rPr>
        <w:lastRenderedPageBreak/>
        <w:t>передаче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802CA4" w:rsidRDefault="00802CA4" w:rsidP="00802CA4">
      <w:pPr>
        <w:widowControl w:val="0"/>
        <w:autoSpaceDE w:val="0"/>
        <w:autoSpaceDN w:val="0"/>
        <w:adjustRightInd w:val="0"/>
        <w:spacing w:after="0" w:line="240" w:lineRule="auto"/>
        <w:ind w:firstLine="540"/>
        <w:jc w:val="both"/>
        <w:rPr>
          <w:rFonts w:cs="Calibri"/>
        </w:rPr>
      </w:pPr>
      <w:bookmarkStart w:id="40" w:name="Par1220"/>
      <w:bookmarkEnd w:id="40"/>
      <w:r>
        <w:rPr>
          <w:rFonts w:cs="Calibri"/>
        </w:rP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ar1212" w:history="1">
        <w:r>
          <w:rPr>
            <w:rFonts w:cs="Calibri"/>
            <w:color w:val="0000FF"/>
          </w:rPr>
          <w:t>пункте 179</w:t>
        </w:r>
      </w:hyperlink>
      <w:r>
        <w:rPr>
          <w:rFonts w:cs="Calibri"/>
        </w:rPr>
        <w:t xml:space="preserve"> настоящего документа, вплоть до даты допуска прибора учета в эксплуатацию: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объем потребления электрической энергии в соответствующей точке поставки определяется расчетным способом в соответствии с </w:t>
      </w:r>
      <w:hyperlink w:anchor="Par1750" w:history="1">
        <w:r>
          <w:rPr>
            <w:rFonts w:cs="Calibri"/>
            <w:color w:val="0000FF"/>
          </w:rPr>
          <w:t>подпунктом "а" пункта 1</w:t>
        </w:r>
      </w:hyperlink>
      <w:r>
        <w:rPr>
          <w:rFonts w:cs="Calibri"/>
        </w:rP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ar1772" w:history="1">
        <w:r>
          <w:rPr>
            <w:rFonts w:cs="Calibri"/>
            <w:color w:val="0000FF"/>
          </w:rPr>
          <w:t>подпунктом "б" пункта 1</w:t>
        </w:r>
      </w:hyperlink>
      <w:r>
        <w:rPr>
          <w:rFonts w:cs="Calibri"/>
        </w:rPr>
        <w:t xml:space="preserve"> приложения N 3 к настоящему документу.</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ar984" w:history="1">
        <w:r>
          <w:rPr>
            <w:rFonts w:cs="Calibri"/>
            <w:color w:val="0000FF"/>
          </w:rPr>
          <w:t>пунктом 143</w:t>
        </w:r>
      </w:hyperlink>
      <w:r>
        <w:rPr>
          <w:rFonts w:cs="Calibri"/>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(абзац введен </w:t>
      </w:r>
      <w:hyperlink r:id="rId31" w:history="1">
        <w:r>
          <w:rPr>
            <w:rFonts w:cs="Calibri"/>
            <w:color w:val="0000FF"/>
          </w:rPr>
          <w:t>Постановлением</w:t>
        </w:r>
      </w:hyperlink>
      <w:r>
        <w:rPr>
          <w:rFonts w:cs="Calibri"/>
        </w:rPr>
        <w:t xml:space="preserve"> Правительства РФ от 30.12.2012 N 1482)</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802CA4" w:rsidRDefault="00802CA4" w:rsidP="00802CA4">
      <w:pPr>
        <w:widowControl w:val="0"/>
        <w:autoSpaceDE w:val="0"/>
        <w:autoSpaceDN w:val="0"/>
        <w:adjustRightInd w:val="0"/>
        <w:spacing w:after="0" w:line="240" w:lineRule="auto"/>
        <w:jc w:val="both"/>
        <w:rPr>
          <w:rFonts w:cs="Calibri"/>
        </w:rPr>
      </w:pPr>
      <w:r>
        <w:rPr>
          <w:rFonts w:cs="Calibri"/>
        </w:rPr>
        <w:t xml:space="preserve">(абзац введен </w:t>
      </w:r>
      <w:hyperlink r:id="rId32" w:history="1">
        <w:r>
          <w:rPr>
            <w:rFonts w:cs="Calibri"/>
            <w:color w:val="0000FF"/>
          </w:rPr>
          <w:t>Постановлением</w:t>
        </w:r>
      </w:hyperlink>
      <w:r>
        <w:rPr>
          <w:rFonts w:cs="Calibri"/>
        </w:rPr>
        <w:t xml:space="preserve"> Правительства РФ от 30.12.2012 N 1482)</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lastRenderedPageBreak/>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отсутствие приборов учета у потребителей, на которых не распространяются требования </w:t>
      </w:r>
      <w:hyperlink r:id="rId33" w:history="1">
        <w:r>
          <w:rPr>
            <w:rFonts w:cs="Calibri"/>
            <w:color w:val="0000FF"/>
          </w:rPr>
          <w:t>статьи 13</w:t>
        </w:r>
      </w:hyperlink>
      <w:r>
        <w:rPr>
          <w:rFonts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При отсутствии прибора учета, соответствующего требованиям </w:t>
      </w:r>
      <w:hyperlink w:anchor="Par978" w:history="1">
        <w:r>
          <w:rPr>
            <w:rFonts w:cs="Calibri"/>
            <w:color w:val="0000FF"/>
          </w:rPr>
          <w:t>пунктов 141</w:t>
        </w:r>
      </w:hyperlink>
      <w:r>
        <w:rPr>
          <w:rFonts w:cs="Calibri"/>
        </w:rPr>
        <w:t xml:space="preserve"> и </w:t>
      </w:r>
      <w:hyperlink w:anchor="Par982" w:history="1">
        <w:r>
          <w:rPr>
            <w:rFonts w:cs="Calibri"/>
            <w:color w:val="0000FF"/>
          </w:rPr>
          <w:t>142</w:t>
        </w:r>
      </w:hyperlink>
      <w:r>
        <w:rPr>
          <w:rFonts w:cs="Calibri"/>
        </w:rP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ar1159" w:history="1">
        <w:r>
          <w:rPr>
            <w:rFonts w:cs="Calibri"/>
            <w:color w:val="0000FF"/>
          </w:rPr>
          <w:t>пунктом 168</w:t>
        </w:r>
      </w:hyperlink>
      <w:r>
        <w:rPr>
          <w:rFonts w:cs="Calibri"/>
        </w:rP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w:t>
      </w:r>
      <w:r>
        <w:rPr>
          <w:rFonts w:cs="Calibri"/>
        </w:rPr>
        <w:lastRenderedPageBreak/>
        <w:t>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34" w:history="1">
        <w:r>
          <w:rPr>
            <w:rFonts w:cs="Calibri"/>
            <w:color w:val="0000FF"/>
          </w:rPr>
          <w:t>Правилами</w:t>
        </w:r>
      </w:hyperlink>
      <w:r>
        <w:rPr>
          <w:rFonts w:cs="Calibri"/>
        </w:rPr>
        <w:t xml:space="preserve"> предоставления коммунальных услуг собственникам и пользователям помещений в многоквартирных домах и жилых домов.</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35" w:history="1">
        <w:r>
          <w:rPr>
            <w:rFonts w:cs="Calibri"/>
            <w:color w:val="0000FF"/>
          </w:rPr>
          <w:t>Правилами</w:t>
        </w:r>
      </w:hyperlink>
      <w:r>
        <w:rPr>
          <w:rFonts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Определение объемов потребления электрической энергии гражданами, указанными в </w:t>
      </w:r>
      <w:hyperlink w:anchor="Par530" w:history="1">
        <w:r>
          <w:rPr>
            <w:rFonts w:cs="Calibri"/>
            <w:color w:val="0000FF"/>
          </w:rPr>
          <w:t>пункте 71</w:t>
        </w:r>
      </w:hyperlink>
      <w:r>
        <w:rPr>
          <w:rFonts w:cs="Calibri"/>
        </w:rPr>
        <w:t xml:space="preserve"> настоящего документа, осуществляется в соответствии с настоящим документом.</w:t>
      </w:r>
    </w:p>
    <w:p w:rsidR="00802CA4" w:rsidRDefault="00802CA4" w:rsidP="00802CA4">
      <w:pPr>
        <w:widowControl w:val="0"/>
        <w:autoSpaceDE w:val="0"/>
        <w:autoSpaceDN w:val="0"/>
        <w:adjustRightInd w:val="0"/>
        <w:spacing w:after="0" w:line="240" w:lineRule="auto"/>
        <w:ind w:firstLine="540"/>
        <w:jc w:val="both"/>
        <w:rPr>
          <w:rFonts w:cs="Calibri"/>
        </w:rPr>
      </w:pPr>
      <w:bookmarkStart w:id="41" w:name="Par1241"/>
      <w:bookmarkEnd w:id="41"/>
      <w:r>
        <w:rPr>
          <w:rFonts w:cs="Calibri"/>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186. В целях осуществления действий, указанных в </w:t>
      </w:r>
      <w:hyperlink w:anchor="Par1241" w:history="1">
        <w:r>
          <w:rPr>
            <w:rFonts w:cs="Calibri"/>
            <w:color w:val="0000FF"/>
          </w:rPr>
          <w:t>пункте 185</w:t>
        </w:r>
      </w:hyperlink>
      <w:r>
        <w:rPr>
          <w:rFonts w:cs="Calibri"/>
        </w:rP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188. Объем электрической энергии (мощности), подлежащей покупке соответствующей </w:t>
      </w:r>
      <w:r>
        <w:rPr>
          <w:rFonts w:cs="Calibri"/>
        </w:rPr>
        <w:lastRenderedPageBreak/>
        <w:t>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ar440" w:history="1">
        <w:r>
          <w:rPr>
            <w:rFonts w:cs="Calibri"/>
            <w:color w:val="0000FF"/>
          </w:rPr>
          <w:t>пунктах 58</w:t>
        </w:r>
      </w:hyperlink>
      <w:r>
        <w:rPr>
          <w:rFonts w:cs="Calibri"/>
        </w:rPr>
        <w:t xml:space="preserve"> или </w:t>
      </w:r>
      <w:hyperlink w:anchor="Par442" w:history="1">
        <w:r>
          <w:rPr>
            <w:rFonts w:cs="Calibri"/>
            <w:color w:val="0000FF"/>
          </w:rPr>
          <w:t>59</w:t>
        </w:r>
      </w:hyperlink>
      <w:r>
        <w:rPr>
          <w:rFonts w:cs="Calibri"/>
        </w:rP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40" w:history="1">
        <w:r>
          <w:rPr>
            <w:rFonts w:cs="Calibri"/>
            <w:color w:val="0000FF"/>
          </w:rPr>
          <w:t>пунктах 58</w:t>
        </w:r>
      </w:hyperlink>
      <w:r>
        <w:rPr>
          <w:rFonts w:cs="Calibri"/>
        </w:rPr>
        <w:t xml:space="preserve"> или </w:t>
      </w:r>
      <w:hyperlink w:anchor="Par442" w:history="1">
        <w:r>
          <w:rPr>
            <w:rFonts w:cs="Calibri"/>
            <w:color w:val="0000FF"/>
          </w:rPr>
          <w:t>59</w:t>
        </w:r>
      </w:hyperlink>
      <w:r>
        <w:rPr>
          <w:rFonts w:cs="Calibri"/>
        </w:rP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ar440" w:history="1">
        <w:r>
          <w:rPr>
            <w:rFonts w:cs="Calibri"/>
            <w:color w:val="0000FF"/>
          </w:rPr>
          <w:t>пунктах 58</w:t>
        </w:r>
      </w:hyperlink>
      <w:r>
        <w:rPr>
          <w:rFonts w:cs="Calibri"/>
        </w:rPr>
        <w:t xml:space="preserve"> или </w:t>
      </w:r>
      <w:hyperlink w:anchor="Par442" w:history="1">
        <w:r>
          <w:rPr>
            <w:rFonts w:cs="Calibri"/>
            <w:color w:val="0000FF"/>
          </w:rPr>
          <w:t>59</w:t>
        </w:r>
      </w:hyperlink>
      <w:r>
        <w:rPr>
          <w:rFonts w:cs="Calibri"/>
        </w:rP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ar1249" w:history="1">
        <w:r>
          <w:rPr>
            <w:rFonts w:cs="Calibri"/>
            <w:color w:val="0000FF"/>
          </w:rPr>
          <w:t>пунктом 190</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bookmarkStart w:id="42" w:name="Par1249"/>
      <w:bookmarkEnd w:id="42"/>
      <w:r>
        <w:rPr>
          <w:rFonts w:cs="Calibri"/>
        </w:rPr>
        <w:t xml:space="preserve">190. Гарантирующий поставщик (энергосбытовая, энергоснабжающая организация, указанная в </w:t>
      </w:r>
      <w:hyperlink w:anchor="Par440" w:history="1">
        <w:r>
          <w:rPr>
            <w:rFonts w:cs="Calibri"/>
            <w:color w:val="0000FF"/>
          </w:rPr>
          <w:t>пунктах 58</w:t>
        </w:r>
      </w:hyperlink>
      <w:r>
        <w:rPr>
          <w:rFonts w:cs="Calibri"/>
        </w:rPr>
        <w:t xml:space="preserve"> или </w:t>
      </w:r>
      <w:hyperlink w:anchor="Par442" w:history="1">
        <w:r>
          <w:rPr>
            <w:rFonts w:cs="Calibri"/>
            <w:color w:val="0000FF"/>
          </w:rPr>
          <w:t>59</w:t>
        </w:r>
      </w:hyperlink>
      <w:r>
        <w:rPr>
          <w:rFonts w:cs="Calibri"/>
        </w:rP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40" w:history="1">
        <w:r>
          <w:rPr>
            <w:rFonts w:cs="Calibri"/>
            <w:color w:val="0000FF"/>
          </w:rPr>
          <w:t>пункте 58</w:t>
        </w:r>
      </w:hyperlink>
      <w:r>
        <w:rPr>
          <w:rFonts w:cs="Calibri"/>
        </w:rPr>
        <w:t xml:space="preserve"> или </w:t>
      </w:r>
      <w:hyperlink w:anchor="Par442" w:history="1">
        <w:r>
          <w:rPr>
            <w:rFonts w:cs="Calibri"/>
            <w:color w:val="0000FF"/>
          </w:rPr>
          <w:t>59</w:t>
        </w:r>
      </w:hyperlink>
      <w:r>
        <w:rPr>
          <w:rFonts w:cs="Calibri"/>
        </w:rP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ar440" w:history="1">
        <w:r>
          <w:rPr>
            <w:rFonts w:cs="Calibri"/>
            <w:color w:val="0000FF"/>
          </w:rPr>
          <w:t>пункте 58</w:t>
        </w:r>
      </w:hyperlink>
      <w:r>
        <w:rPr>
          <w:rFonts w:cs="Calibri"/>
        </w:rPr>
        <w:t xml:space="preserve"> или </w:t>
      </w:r>
      <w:hyperlink w:anchor="Par442" w:history="1">
        <w:r>
          <w:rPr>
            <w:rFonts w:cs="Calibri"/>
            <w:color w:val="0000FF"/>
          </w:rPr>
          <w:t>59</w:t>
        </w:r>
      </w:hyperlink>
      <w:r>
        <w:rPr>
          <w:rFonts w:cs="Calibri"/>
        </w:rP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191. При переходе на обслуживание к гарантирующему поставщику в случае, указанном в </w:t>
      </w:r>
      <w:hyperlink w:anchor="Par440" w:history="1">
        <w:r>
          <w:rPr>
            <w:rFonts w:cs="Calibri"/>
            <w:color w:val="0000FF"/>
          </w:rPr>
          <w:t>пункте 58</w:t>
        </w:r>
      </w:hyperlink>
      <w:r>
        <w:rPr>
          <w:rFonts w:cs="Calibri"/>
        </w:rP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ar440" w:history="1">
        <w:r>
          <w:rPr>
            <w:rFonts w:cs="Calibri"/>
            <w:color w:val="0000FF"/>
          </w:rPr>
          <w:t>пункте 58</w:t>
        </w:r>
      </w:hyperlink>
      <w:r>
        <w:rPr>
          <w:rFonts w:cs="Calibri"/>
        </w:rPr>
        <w:t xml:space="preserve"> настоящего документа, и гарантирующим поставщиком.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w:t>
      </w:r>
      <w:r>
        <w:rPr>
          <w:rFonts w:cs="Calibri"/>
        </w:rPr>
        <w:lastRenderedPageBreak/>
        <w:t>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bookmarkStart w:id="43" w:name="Par1258"/>
      <w:bookmarkEnd w:id="43"/>
      <w:r>
        <w:rPr>
          <w:rFonts w:cs="Calibri"/>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лица, осуществившего бездоговорное потребление.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193. В акте о неучтенном потреблении электрической энергии должны содержаться: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данные:</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 лице, осуществляющем безучетное или бездоговорное потребление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 способе и месте осуществления безучетного или бездоговорного потребления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 приборах учета на момент составления акта;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объяснения лица, осуществляющего безучетное или бездоговорное потребление электрической энергии, относительно выявленного факта;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замечания к составленному акту (при их наличии).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ar1274" w:history="1">
        <w:r>
          <w:rPr>
            <w:rFonts w:cs="Calibri"/>
            <w:color w:val="0000FF"/>
          </w:rPr>
          <w:t>пунктами 195</w:t>
        </w:r>
      </w:hyperlink>
      <w:r>
        <w:rPr>
          <w:rFonts w:cs="Calibri"/>
        </w:rPr>
        <w:t xml:space="preserve"> или </w:t>
      </w:r>
      <w:hyperlink w:anchor="Par1279" w:history="1">
        <w:r>
          <w:rPr>
            <w:rFonts w:cs="Calibri"/>
            <w:color w:val="0000FF"/>
          </w:rPr>
          <w:t>196</w:t>
        </w:r>
      </w:hyperlink>
      <w:r>
        <w:rPr>
          <w:rFonts w:cs="Calibri"/>
        </w:rP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w:t>
      </w:r>
      <w:r>
        <w:rPr>
          <w:rFonts w:cs="Calibri"/>
        </w:rPr>
        <w:lastRenderedPageBreak/>
        <w:t xml:space="preserve">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ar1258" w:history="1">
        <w:r>
          <w:rPr>
            <w:rFonts w:cs="Calibri"/>
            <w:color w:val="0000FF"/>
          </w:rPr>
          <w:t>пунктом 192</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bookmarkStart w:id="44" w:name="Par1274"/>
      <w:bookmarkEnd w:id="44"/>
      <w:r>
        <w:rPr>
          <w:rFonts w:cs="Calibri"/>
        </w:rPr>
        <w:t xml:space="preserve">195. Объем безучетного потребления электрической энергии определяется с применением расчетного способа, предусмотренного </w:t>
      </w:r>
      <w:hyperlink w:anchor="Par1750" w:history="1">
        <w:r>
          <w:rPr>
            <w:rFonts w:cs="Calibri"/>
            <w:color w:val="0000FF"/>
          </w:rPr>
          <w:t>подпунктом "а" пункта 1</w:t>
        </w:r>
      </w:hyperlink>
      <w:r>
        <w:rPr>
          <w:rFonts w:cs="Calibri"/>
        </w:rPr>
        <w:t xml:space="preserve"> приложения N 3 к настоящему документу.</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ar1772" w:history="1">
        <w:r>
          <w:rPr>
            <w:rFonts w:cs="Calibri"/>
            <w:color w:val="0000FF"/>
          </w:rPr>
          <w:t>подпунктом "б" пункта 1</w:t>
        </w:r>
      </w:hyperlink>
      <w:r>
        <w:rPr>
          <w:rFonts w:cs="Calibri"/>
        </w:rPr>
        <w:t xml:space="preserve"> приложения N 3 к настоящему документу.</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ar1142" w:history="1">
        <w:r>
          <w:rPr>
            <w:rFonts w:cs="Calibri"/>
            <w:color w:val="0000FF"/>
          </w:rPr>
          <w:t>пункта 166</w:t>
        </w:r>
      </w:hyperlink>
      <w:r>
        <w:rPr>
          <w:rFonts w:cs="Calibri"/>
        </w:rP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802CA4" w:rsidRDefault="00802CA4" w:rsidP="00802CA4">
      <w:pPr>
        <w:widowControl w:val="0"/>
        <w:autoSpaceDE w:val="0"/>
        <w:autoSpaceDN w:val="0"/>
        <w:adjustRightInd w:val="0"/>
        <w:spacing w:after="0" w:line="240" w:lineRule="auto"/>
        <w:ind w:firstLine="540"/>
        <w:jc w:val="both"/>
        <w:rPr>
          <w:rFonts w:cs="Calibri"/>
        </w:rPr>
      </w:pPr>
      <w:bookmarkStart w:id="45" w:name="Par1279"/>
      <w:bookmarkEnd w:id="45"/>
      <w:r>
        <w:rPr>
          <w:rFonts w:cs="Calibri"/>
        </w:rPr>
        <w:t xml:space="preserve">196. Объем бездоговорного потребления электрической энергии определяется расчетным способом, предусмотренным </w:t>
      </w:r>
      <w:hyperlink w:anchor="Par1778" w:history="1">
        <w:r>
          <w:rPr>
            <w:rFonts w:cs="Calibri"/>
            <w:color w:val="0000FF"/>
          </w:rPr>
          <w:t>пунктом 2</w:t>
        </w:r>
      </w:hyperlink>
      <w:r>
        <w:rPr>
          <w:rFonts w:cs="Calibri"/>
        </w:rP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ar546" w:history="1">
        <w:r>
          <w:rPr>
            <w:rFonts w:cs="Calibri"/>
            <w:color w:val="0000FF"/>
          </w:rPr>
          <w:t>разделе IV</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ar1258" w:history="1">
        <w:r>
          <w:rPr>
            <w:rFonts w:cs="Calibri"/>
            <w:color w:val="0000FF"/>
          </w:rPr>
          <w:t>пунктом 192</w:t>
        </w:r>
      </w:hyperlink>
      <w:r>
        <w:rPr>
          <w:rFonts w:cs="Calibri"/>
        </w:rPr>
        <w:t xml:space="preserve"> настоящего документа.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 xml:space="preserve">Лицо, осуществившее бездоговорное потребление, обязано оплатить счет для оплаты </w:t>
      </w:r>
      <w:r>
        <w:rPr>
          <w:rFonts w:cs="Calibri"/>
        </w:rPr>
        <w:lastRenderedPageBreak/>
        <w:t>стоимости электрической энергии в объеме бездоговорного потребления в течение 10 дней со дня получения счета.</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802CA4" w:rsidRDefault="00802CA4" w:rsidP="00802CA4">
      <w:pPr>
        <w:widowControl w:val="0"/>
        <w:autoSpaceDE w:val="0"/>
        <w:autoSpaceDN w:val="0"/>
        <w:adjustRightInd w:val="0"/>
        <w:spacing w:after="0" w:line="240" w:lineRule="auto"/>
        <w:ind w:firstLine="540"/>
        <w:jc w:val="both"/>
        <w:rPr>
          <w:rFonts w:cs="Calibri"/>
        </w:rPr>
      </w:pPr>
      <w:r>
        <w:rPr>
          <w:rFonts w:cs="Calibri"/>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E238C6" w:rsidRDefault="00E238C6"/>
    <w:sectPr w:rsidR="00E23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7C"/>
    <w:rsid w:val="00802CA4"/>
    <w:rsid w:val="00BA277C"/>
    <w:rsid w:val="00E23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CC005-FE2B-4C87-83B8-A3066071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C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C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2CA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D04BAA627454AA989FA051801476813A5615A5AB41600BC1B598E38439B363B1D56124E4B3AF42W0f4D" TargetMode="External"/><Relationship Id="rId13" Type="http://schemas.openxmlformats.org/officeDocument/2006/relationships/hyperlink" Target="consultantplus://offline/ref=F2D04BAA627454AA989FA051801476813A5619A7A64D600BC1B598E38439B363B1D56124E4B3AF43W0f2D" TargetMode="External"/><Relationship Id="rId18" Type="http://schemas.openxmlformats.org/officeDocument/2006/relationships/hyperlink" Target="consultantplus://offline/ref=F2D04BAA627454AA989FA051801476813A5615A5AB41600BC1B598E38439B363B1D56124E4B3AF42W0f4D" TargetMode="External"/><Relationship Id="rId26" Type="http://schemas.openxmlformats.org/officeDocument/2006/relationships/hyperlink" Target="consultantplus://offline/ref=F2D04BAA627454AA989FA051801476813A5614A6A740600BC1B598E38439B363B1D56124E4B3AD43W0f4D" TargetMode="External"/><Relationship Id="rId3" Type="http://schemas.openxmlformats.org/officeDocument/2006/relationships/webSettings" Target="webSettings.xml"/><Relationship Id="rId21" Type="http://schemas.openxmlformats.org/officeDocument/2006/relationships/hyperlink" Target="consultantplus://offline/ref=F2D04BAA627454AA989FA051801476813A5510A7AE45600BC1B598E38439B363B1D56124E4B3AF46W0f5D" TargetMode="External"/><Relationship Id="rId34" Type="http://schemas.openxmlformats.org/officeDocument/2006/relationships/hyperlink" Target="consultantplus://offline/ref=F2D04BAA627454AA989FA051801476813A5615A5AB41600BC1B598E38439B363B1D56124E4B3AF42W0f4D" TargetMode="External"/><Relationship Id="rId7" Type="http://schemas.openxmlformats.org/officeDocument/2006/relationships/hyperlink" Target="consultantplus://offline/ref=F2D04BAA627454AA989FA051801476813A5614A6A740600BC1B598E38439B363B1D56124E4B3AD40W0fCD" TargetMode="External"/><Relationship Id="rId12" Type="http://schemas.openxmlformats.org/officeDocument/2006/relationships/hyperlink" Target="consultantplus://offline/ref=F2D04BAA627454AA989FA051801476813A5510A7AE45600BC1B598E38439B363B1D56124E4B3AF47W0fDD" TargetMode="External"/><Relationship Id="rId17" Type="http://schemas.openxmlformats.org/officeDocument/2006/relationships/hyperlink" Target="consultantplus://offline/ref=F2D04BAA627454AA989FA051801476813A5418AAAE42600BC1B598E38439B363B1D56124E4B3AF46W0f0D" TargetMode="External"/><Relationship Id="rId25" Type="http://schemas.openxmlformats.org/officeDocument/2006/relationships/hyperlink" Target="consultantplus://offline/ref=F2D04BAA627454AA989FA051801476813A5615A5AB41600BC1B598E38439B363B1D56124E4B3AF42W0f4D" TargetMode="External"/><Relationship Id="rId33" Type="http://schemas.openxmlformats.org/officeDocument/2006/relationships/hyperlink" Target="consultantplus://offline/ref=F2D04BAA627454AA989FA051801476813A5912A3A94C600BC1B598E38439B363B1D56124E4B3AE45W0f4D" TargetMode="External"/><Relationship Id="rId2" Type="http://schemas.openxmlformats.org/officeDocument/2006/relationships/settings" Target="settings.xml"/><Relationship Id="rId16" Type="http://schemas.openxmlformats.org/officeDocument/2006/relationships/hyperlink" Target="consultantplus://offline/ref=F2D04BAA627454AA989FA051801476813A5619A6AF44600BC1B598E38439B363B1D56124E4B3A846W0f3D" TargetMode="External"/><Relationship Id="rId20" Type="http://schemas.openxmlformats.org/officeDocument/2006/relationships/hyperlink" Target="consultantplus://offline/ref=F2D04BAA627454AA989FA051801476813A5418AAAE42600BC1B598E38439B363B1D56124E4B3AF46W0f3D" TargetMode="External"/><Relationship Id="rId29" Type="http://schemas.openxmlformats.org/officeDocument/2006/relationships/hyperlink" Target="consultantplus://offline/ref=F2D04BAA627454AA989FA051801476813A5615A5AB41600BC1B598E38439B363B1D56124E4B3AF42W0f4D" TargetMode="External"/><Relationship Id="rId1" Type="http://schemas.openxmlformats.org/officeDocument/2006/relationships/styles" Target="styles.xml"/><Relationship Id="rId6" Type="http://schemas.openxmlformats.org/officeDocument/2006/relationships/hyperlink" Target="consultantplus://offline/ref=F2D04BAA627454AA989FA051801476813A5510A7AE45600BC1B598E38439B363B1D56124E4B3AF47W0f3D" TargetMode="External"/><Relationship Id="rId11" Type="http://schemas.openxmlformats.org/officeDocument/2006/relationships/hyperlink" Target="consultantplus://offline/ref=F2D04BAA627454AA989FA051801476813A5619A7A64D600BC1B598E38439B363B1D56124E4B3AF43W0f2D" TargetMode="External"/><Relationship Id="rId24" Type="http://schemas.openxmlformats.org/officeDocument/2006/relationships/hyperlink" Target="consultantplus://offline/ref=F2D04BAA627454AA989FA051801476813A5615A5AB41600BC1B598E38439B363B1D56124E4B3AF42W0f4D" TargetMode="External"/><Relationship Id="rId32" Type="http://schemas.openxmlformats.org/officeDocument/2006/relationships/hyperlink" Target="consultantplus://offline/ref=F2D04BAA627454AA989FA051801476813A5510A7AE45600BC1B598E38439B363B1D56124E4B3AF46W0fDD" TargetMode="External"/><Relationship Id="rId37" Type="http://schemas.openxmlformats.org/officeDocument/2006/relationships/theme" Target="theme/theme1.xml"/><Relationship Id="rId5" Type="http://schemas.openxmlformats.org/officeDocument/2006/relationships/hyperlink" Target="consultantplus://offline/ref=F2D04BAA627454AA989FA051801476813A5619A6AF44600BC1B598E38439B363B1D56124E4B3AC46W0fCD" TargetMode="External"/><Relationship Id="rId15" Type="http://schemas.openxmlformats.org/officeDocument/2006/relationships/hyperlink" Target="consultantplus://offline/ref=F2D04BAA627454AA989FA051801476813A5418AAAE42600BC1B598E38439B363B1D56124E4B3AF46W0f1D" TargetMode="External"/><Relationship Id="rId23" Type="http://schemas.openxmlformats.org/officeDocument/2006/relationships/hyperlink" Target="consultantplus://offline/ref=F2D04BAA627454AA989FA051801476813A5615A5AB41600BC1B598E38439B363B1D56124E4B3AF42W0f4D" TargetMode="External"/><Relationship Id="rId28" Type="http://schemas.openxmlformats.org/officeDocument/2006/relationships/hyperlink" Target="consultantplus://offline/ref=F2D04BAA627454AA989FA051801476813A5510A7AE45600BC1B598E38439B363B1D56124E4B3AF46W0f0D" TargetMode="External"/><Relationship Id="rId36" Type="http://schemas.openxmlformats.org/officeDocument/2006/relationships/fontTable" Target="fontTable.xml"/><Relationship Id="rId10" Type="http://schemas.openxmlformats.org/officeDocument/2006/relationships/hyperlink" Target="consultantplus://offline/ref=F2D04BAA627454AA989FA051801476813A5912A3A94C600BC1B598E38439B363B1D56124WEfCD" TargetMode="External"/><Relationship Id="rId19" Type="http://schemas.openxmlformats.org/officeDocument/2006/relationships/hyperlink" Target="consultantplus://offline/ref=F2D04BAA627454AA989FA051801476813A5619A6AF44600BC1B598E38439B363B1D56124E4B3A846W0f3D" TargetMode="External"/><Relationship Id="rId31" Type="http://schemas.openxmlformats.org/officeDocument/2006/relationships/hyperlink" Target="consultantplus://offline/ref=F2D04BAA627454AA989FA051801476813A5510A7AE45600BC1B598E38439B363B1D56124E4B3AF46W0f3D" TargetMode="External"/><Relationship Id="rId4" Type="http://schemas.openxmlformats.org/officeDocument/2006/relationships/hyperlink" Target="consultantplus://offline/ref=F2D04BAA627454AA989FA051801476813A5510A7AE45600BC1B598E38439B363B1D56124E4B3AF47W0f0D" TargetMode="External"/><Relationship Id="rId9" Type="http://schemas.openxmlformats.org/officeDocument/2006/relationships/hyperlink" Target="consultantplus://offline/ref=F2D04BAA627454AA989FA051801476813A5912A3A94C600BC1B598E38439B363B1D56124E4B3AE45W0f4D" TargetMode="External"/><Relationship Id="rId14" Type="http://schemas.openxmlformats.org/officeDocument/2006/relationships/hyperlink" Target="consultantplus://offline/ref=F2D04BAA627454AA989FA051801476813A5510A7AE45600BC1B598E38439B363B1D56124E4B3AF47W0fCD" TargetMode="External"/><Relationship Id="rId22" Type="http://schemas.openxmlformats.org/officeDocument/2006/relationships/hyperlink" Target="consultantplus://offline/ref=F2D04BAA627454AA989FA051801476813A5510A7AE45600BC1B598E38439B363B1D56124E4B3AF46W0f7D" TargetMode="External"/><Relationship Id="rId27" Type="http://schemas.openxmlformats.org/officeDocument/2006/relationships/hyperlink" Target="consultantplus://offline/ref=F2D04BAA627454AA989FA051801476813A5510A7AE45600BC1B598E38439B363B1D56124E4B3AF46W0f6D" TargetMode="External"/><Relationship Id="rId30" Type="http://schemas.openxmlformats.org/officeDocument/2006/relationships/hyperlink" Target="consultantplus://offline/ref=F2D04BAA627454AA989FA051801476813A5615A5AB41600BC1B598E38439B363B1D56124E4B3AF42W0f4D" TargetMode="External"/><Relationship Id="rId35" Type="http://schemas.openxmlformats.org/officeDocument/2006/relationships/hyperlink" Target="consultantplus://offline/ref=F2D04BAA627454AA989FA051801476813A5419A6AE41600BC1B598E38439B363B1D56124E4B3AF43W0f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23761</Words>
  <Characters>135439</Characters>
  <Application>Microsoft Office Word</Application>
  <DocSecurity>0</DocSecurity>
  <Lines>1128</Lines>
  <Paragraphs>317</Paragraphs>
  <ScaleCrop>false</ScaleCrop>
  <Company/>
  <LinksUpToDate>false</LinksUpToDate>
  <CharactersWithSpaces>158883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Чекушкина Татьяна Ивановна</dc:creator>
  <cp:keywords/>
  <dc:description/>
  <cp:lastModifiedBy>Чекушкина Татьяна Ивановна</cp:lastModifiedBy>
  <cp:revision>2</cp:revision>
  <dcterms:created xsi:type="dcterms:W3CDTF">2015-07-13T05:15:00Z</dcterms:created>
  <dcterms:modified xsi:type="dcterms:W3CDTF">2015-07-13T05:16:00Z</dcterms:modified>
</cp:coreProperties>
</file>