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64" w:rsidRPr="00C22064" w:rsidRDefault="00C22064" w:rsidP="00C2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6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Требования к приборам учета и их установке</w:t>
      </w:r>
    </w:p>
    <w:p w:rsidR="00C22064" w:rsidRPr="00C22064" w:rsidRDefault="00C22064" w:rsidP="00C22064">
      <w:pPr>
        <w:shd w:val="clear" w:color="auto" w:fill="FBFBFB"/>
        <w:spacing w:after="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b/>
          <w:bCs/>
          <w:color w:val="3C3E40"/>
          <w:sz w:val="21"/>
          <w:szCs w:val="21"/>
          <w:bdr w:val="none" w:sz="0" w:space="0" w:color="auto" w:frame="1"/>
          <w:lang w:eastAsia="ru-RU"/>
        </w:rPr>
        <w:t>Приборы учета</w:t>
      </w: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 - совокупность устройств, обеспечивающих измерение и учет электроэнергии (измерительные трансформаторы тока и напряжения, счетчики электрической энергии, телеметрические датчики, информационно - измерительные системы и их линии связи) и соединенных между собой по установленной схеме.</w:t>
      </w:r>
    </w:p>
    <w:p w:rsidR="00C22064" w:rsidRPr="00C22064" w:rsidRDefault="00C22064" w:rsidP="00C22064">
      <w:pPr>
        <w:shd w:val="clear" w:color="auto" w:fill="FBFBFB"/>
        <w:spacing w:after="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b/>
          <w:bCs/>
          <w:color w:val="3C3E40"/>
          <w:sz w:val="21"/>
          <w:szCs w:val="21"/>
          <w:bdr w:val="none" w:sz="0" w:space="0" w:color="auto" w:frame="1"/>
          <w:lang w:eastAsia="ru-RU"/>
        </w:rPr>
        <w:t>Счетчик электрической энергии</w:t>
      </w: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 - электроизмерительный прибор, предназначенный для учета потребленной электроэнергии, переменного или постоянного тока. Единицей измерения является кВт*ч или А*ч.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Расчетный счетчик электрической энергии - счетчик электрической энергии, предназначенный для коммерческих расчетов между субъектами рынка.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Для учета электрической энергии используются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приборов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</w:t>
      </w:r>
    </w:p>
    <w:p w:rsidR="00C22064" w:rsidRPr="00C22064" w:rsidRDefault="00C22064" w:rsidP="00C22064">
      <w:pPr>
        <w:shd w:val="clear" w:color="auto" w:fill="FBFBFB"/>
        <w:spacing w:after="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 xml:space="preserve">Счетчики для расчета </w:t>
      </w:r>
      <w:proofErr w:type="spellStart"/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электроснабжающей</w:t>
      </w:r>
      <w:proofErr w:type="spellEnd"/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 xml:space="preserve"> организации с потребителями электроэнергии рекомендуется устанавливать на границе раздела сети (по балансовой принадлежности) сетевой организации и потребителя. В случае если расчетный прибор учета расположен не на границе балансовой принадлежности электрических сетей, объем принятой в электрические сети (отпущенной из электрических сетей) электрической энергии корректируется с учетом величины нормативных </w:t>
      </w:r>
      <w:hyperlink r:id="rId4" w:tgtFrame="_blank" w:history="1">
        <w:r w:rsidRPr="00C22064">
          <w:rPr>
            <w:rFonts w:ascii="inherit" w:eastAsia="Times New Roman" w:hAnsi="inherit" w:cs="Arial"/>
            <w:color w:val="135092"/>
            <w:sz w:val="21"/>
            <w:szCs w:val="21"/>
            <w:bdr w:val="none" w:sz="0" w:space="0" w:color="auto" w:frame="1"/>
            <w:lang w:eastAsia="ru-RU"/>
          </w:rPr>
          <w:t>потерь электрической энергии</w:t>
        </w:r>
      </w:hyperlink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, возникающих на участке сети от границы балансовой принадлежности электрических сетей до места установки прибора учета, если соглашением сторон не установлен иной порядок корректировки.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Счетчики должны размещаться в легко доступных для обслуживания сухих помещениях, в достаточно свободном и не стесненном для работы месте с температурой в зимнее время не ниже 0 °С.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Не разрешается устанавливать счетчики в помещениях, где по производственным условиям температура может часто превышать +40 °С, а также в помещениях с агрессивными средами.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Допускается размещение счетчиков в неотапливаемых помещениях и коридорах распределительных устройств электростанций и подстанций, а также в шкафах наружной установки. При этом должно быть предусмотрено стационарное их утепление на зимнее время посредством утепляющих шкафов, колпаков с подогревом воздуха внутри них электрической лампой или нагревательным элементом для обеспечения внутри колпака положительной температуры, но не выше +20 °С.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Счетчики должны устанавливаться в шкафах, камерах комплектных распределительных устройств (КРУ, КРУН), на панелях, щитах, в нишах, на стенах, имеющих жесткую конструкцию.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lastRenderedPageBreak/>
        <w:t>Допускается крепление счетчиков на деревянных, пластмассовых или металлических щитках. Высота от пола до коробки зажимов счетчиков должна быть в пределах 0,8 - 1,7 м. Допускается высота менее 0,8 м, но не менее 0,4 м.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В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 Аналогичные шкафы должны устанавливаться также для совместного размещения счетчиков и трансформаторов тока при выполнении учета на стороне низшего напряжения (на вводе у потребителей).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Конструкции и размеры шкафов, ниш, щитков и т.п. должны обеспечивать удобный доступ к зажимам счетчиков и трансформаторов тока. Кроме того, должна быть обеспечена возможность удобной замены счетчика и установки его с уклоном не более 1°. Конструкция его крепления должна обеспечивать возможность установки и съема счетчика с лицевой стороны.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 xml:space="preserve">Для безопасной установки и замены счетчиков в сетях напряжением до 380 </w:t>
      </w:r>
      <w:proofErr w:type="gramStart"/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В</w:t>
      </w:r>
      <w:proofErr w:type="gramEnd"/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 xml:space="preserve">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предохранителями. Снятие напряжения должно предусматриваться со всех фаз, присоединяемых к счетчику.</w:t>
      </w:r>
    </w:p>
    <w:p w:rsidR="00C22064" w:rsidRPr="00C22064" w:rsidRDefault="00C22064" w:rsidP="00C22064">
      <w:pPr>
        <w:shd w:val="clear" w:color="auto" w:fill="FBFBFB"/>
        <w:spacing w:after="450" w:line="330" w:lineRule="atLeast"/>
        <w:textAlignment w:val="baseline"/>
        <w:rPr>
          <w:rFonts w:ascii="inherit" w:eastAsia="Times New Roman" w:hAnsi="inherit" w:cs="Arial"/>
          <w:color w:val="3C3E40"/>
          <w:sz w:val="21"/>
          <w:szCs w:val="21"/>
          <w:lang w:eastAsia="ru-RU"/>
        </w:rPr>
      </w:pPr>
      <w:r w:rsidRPr="00C22064">
        <w:rPr>
          <w:rFonts w:ascii="inherit" w:eastAsia="Times New Roman" w:hAnsi="inherit" w:cs="Arial"/>
          <w:color w:val="3C3E40"/>
          <w:sz w:val="21"/>
          <w:szCs w:val="21"/>
          <w:lang w:eastAsia="ru-RU"/>
        </w:rPr>
        <w:t>Трансформаторы тока, используемые для присоединения счетчиков на напряжении до 380 В, должны устанавливаться после коммутационных аппаратов по направлению потока мощности.</w:t>
      </w:r>
    </w:p>
    <w:p w:rsidR="009B6A17" w:rsidRDefault="009B6A17">
      <w:bookmarkStart w:id="0" w:name="_GoBack"/>
      <w:bookmarkEnd w:id="0"/>
    </w:p>
    <w:sectPr w:rsidR="009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B4"/>
    <w:rsid w:val="002032B4"/>
    <w:rsid w:val="009B6A17"/>
    <w:rsid w:val="00C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2FEA-64A5-44FC-90FB-F77D41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064"/>
  </w:style>
  <w:style w:type="character" w:styleId="a4">
    <w:name w:val="Hyperlink"/>
    <w:basedOn w:val="a0"/>
    <w:uiPriority w:val="99"/>
    <w:semiHidden/>
    <w:unhideWhenUsed/>
    <w:rsid w:val="00C220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610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23" w:color="D0D4D7"/>
            <w:bottom w:val="single" w:sz="6" w:space="23" w:color="D0D4D7"/>
            <w:right w:val="single" w:sz="6" w:space="23" w:color="D0D4D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sk-1.ru/clients/transmission/electric_transmiss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Чекушкина Татьяна Ивановна</dc:creator>
  <cp:keywords/>
  <dc:description/>
  <cp:lastModifiedBy>Чекушкина Татьяна Ивановна</cp:lastModifiedBy>
  <cp:revision>3</cp:revision>
  <cp:lastPrinted>2015-10-23T03:40:00Z</cp:lastPrinted>
  <dcterms:created xsi:type="dcterms:W3CDTF">2015-10-23T03:40:00Z</dcterms:created>
  <dcterms:modified xsi:type="dcterms:W3CDTF">2015-10-23T03:42:00Z</dcterms:modified>
</cp:coreProperties>
</file>