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F" w:rsidRPr="00B5153E" w:rsidRDefault="003A70CF" w:rsidP="0075714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53E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АО «</w:t>
      </w:r>
      <w:r w:rsidR="00B5153E" w:rsidRPr="00B5153E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Pr="00B5153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A70CF" w:rsidRPr="00B5153E" w:rsidRDefault="003A70CF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88" w:rsidRPr="00B5153E" w:rsidRDefault="007C5088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B5153E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B5153E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</w:t>
      </w:r>
      <w:r w:rsidRPr="00B5153E">
        <w:rPr>
          <w:rFonts w:ascii="Times New Roman" w:hAnsi="Times New Roman" w:cs="Times New Roman"/>
          <w:b/>
          <w:sz w:val="24"/>
          <w:szCs w:val="24"/>
        </w:rPr>
        <w:t>с максимальной мощностью до 15</w:t>
      </w:r>
      <w:r w:rsidR="0058149F" w:rsidRPr="00B5153E">
        <w:rPr>
          <w:rFonts w:ascii="Times New Roman" w:hAnsi="Times New Roman" w:cs="Times New Roman"/>
          <w:b/>
          <w:sz w:val="24"/>
          <w:szCs w:val="24"/>
        </w:rPr>
        <w:t>0</w:t>
      </w:r>
      <w:r w:rsidRPr="00B5153E">
        <w:rPr>
          <w:rFonts w:ascii="Times New Roman" w:hAnsi="Times New Roman" w:cs="Times New Roman"/>
          <w:b/>
          <w:sz w:val="24"/>
          <w:szCs w:val="24"/>
        </w:rPr>
        <w:t xml:space="preserve"> кВт</w:t>
      </w:r>
    </w:p>
    <w:p w:rsidR="00872538" w:rsidRPr="00B5153E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B5153E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B515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B5153E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996EEC" w:rsidRPr="00B5153E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58149F" w:rsidRPr="00B5153E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r w:rsidR="00996EEC" w:rsidRPr="00B5153E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B5153E">
        <w:rPr>
          <w:rFonts w:ascii="Times New Roman" w:hAnsi="Times New Roman" w:cs="Times New Roman"/>
          <w:sz w:val="24"/>
          <w:szCs w:val="24"/>
        </w:rPr>
        <w:t>0</w:t>
      </w:r>
      <w:r w:rsidR="00996EEC" w:rsidRPr="00B5153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996EEC" w:rsidRPr="00B5153E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996EEC" w:rsidRPr="00B5153E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энергопринимающих устройств) </w:t>
      </w:r>
    </w:p>
    <w:p w:rsidR="00996EEC" w:rsidRPr="00B5153E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51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149F" w:rsidRPr="00B5153E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присоединение энергопринимающих устройств, отнесенных к третьей категории надежности (по одному источнику электроснабжения) с максимальной мощностью до 15 кВт включительно (с учетом ранее присоединенных в данной точке присоединения энергопринимающих устройств), плата составляет </w:t>
      </w:r>
      <w:r w:rsidR="00996EEC" w:rsidRPr="00B5153E">
        <w:rPr>
          <w:rFonts w:ascii="Times New Roman" w:hAnsi="Times New Roman" w:cs="Times New Roman"/>
          <w:sz w:val="24"/>
          <w:szCs w:val="24"/>
        </w:rPr>
        <w:t xml:space="preserve">550,00 рублей </w:t>
      </w:r>
      <w:r w:rsidR="006967D4" w:rsidRPr="00B5153E">
        <w:rPr>
          <w:rFonts w:ascii="Times New Roman" w:hAnsi="Times New Roman" w:cs="Times New Roman"/>
          <w:sz w:val="24"/>
          <w:szCs w:val="24"/>
        </w:rPr>
        <w:t xml:space="preserve">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6967D4" w:rsidRPr="00B515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967D4" w:rsidRPr="00B5153E">
        <w:rPr>
          <w:rFonts w:ascii="Times New Roman" w:hAnsi="Times New Roman" w:cs="Times New Roman"/>
          <w:sz w:val="24"/>
          <w:szCs w:val="24"/>
        </w:rPr>
        <w:t xml:space="preserve"> включительно необходимого заявителю класса напряжения сетевой организации</w:t>
      </w:r>
      <w:proofErr w:type="gramEnd"/>
      <w:r w:rsidR="006967D4" w:rsidRPr="00B5153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6967D4" w:rsidRPr="00B5153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6967D4" w:rsidRPr="00B5153E">
        <w:rPr>
          <w:rFonts w:ascii="Times New Roman" w:hAnsi="Times New Roman" w:cs="Times New Roman"/>
          <w:sz w:val="24"/>
          <w:szCs w:val="24"/>
        </w:rPr>
        <w:t xml:space="preserve"> подана заявка, составляет не более 300 метров в городах и поселках городского типа и не более 500 метров в сельской местности.</w:t>
      </w:r>
    </w:p>
    <w:p w:rsidR="005B627E" w:rsidRPr="00B5153E" w:rsidRDefault="00996EEC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</w:t>
      </w:r>
      <w:r w:rsidR="00900D71" w:rsidRPr="00B5153E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с максимальной мощностью более 15 кВт и до </w:t>
      </w:r>
      <w:r w:rsidR="00872538" w:rsidRPr="00B5153E">
        <w:rPr>
          <w:rFonts w:ascii="Times New Roman" w:hAnsi="Times New Roman" w:cs="Times New Roman"/>
          <w:sz w:val="24"/>
          <w:szCs w:val="24"/>
        </w:rPr>
        <w:br/>
      </w:r>
      <w:r w:rsidR="00900D71" w:rsidRPr="00B5153E">
        <w:rPr>
          <w:rFonts w:ascii="Times New Roman" w:hAnsi="Times New Roman" w:cs="Times New Roman"/>
          <w:sz w:val="24"/>
          <w:szCs w:val="24"/>
        </w:rPr>
        <w:t>150 к</w:t>
      </w:r>
      <w:proofErr w:type="gramStart"/>
      <w:r w:rsidR="00900D71" w:rsidRPr="00B5153E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900D71" w:rsidRPr="00B5153E">
        <w:rPr>
          <w:rFonts w:ascii="Times New Roman" w:hAnsi="Times New Roman" w:cs="Times New Roman"/>
          <w:sz w:val="24"/>
          <w:szCs w:val="24"/>
        </w:rPr>
        <w:t>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</w:t>
      </w:r>
      <w:r w:rsidRPr="00B5153E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B5153E">
        <w:rPr>
          <w:rFonts w:ascii="Times New Roman" w:hAnsi="Times New Roman" w:cs="Times New Roman"/>
          <w:sz w:val="24"/>
          <w:szCs w:val="24"/>
        </w:rPr>
        <w:t>установленных</w:t>
      </w:r>
      <w:r w:rsidRPr="00B5153E">
        <w:rPr>
          <w:rFonts w:ascii="Times New Roman" w:hAnsi="Times New Roman" w:cs="Times New Roman"/>
          <w:sz w:val="24"/>
          <w:szCs w:val="24"/>
        </w:rPr>
        <w:t xml:space="preserve"> уполномоченным органом исполнительной власти в области государственного регулирования тарифов </w:t>
      </w:r>
      <w:r w:rsidR="00E427D5" w:rsidRPr="00B5153E">
        <w:rPr>
          <w:rFonts w:ascii="Times New Roman" w:hAnsi="Times New Roman" w:cs="Times New Roman"/>
          <w:sz w:val="24"/>
          <w:szCs w:val="24"/>
        </w:rPr>
        <w:t>субъекта РФ.</w:t>
      </w:r>
      <w:r w:rsidR="00E427D5" w:rsidRPr="00B5153E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58149F" w:rsidRPr="00B5153E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53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B5153E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B5153E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B5153E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B5153E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B5153E">
        <w:rPr>
          <w:rFonts w:ascii="Times New Roman" w:hAnsi="Times New Roman" w:cs="Times New Roman"/>
          <w:sz w:val="24"/>
          <w:szCs w:val="24"/>
        </w:rPr>
        <w:t>е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B5153E">
        <w:rPr>
          <w:rFonts w:ascii="Times New Roman" w:hAnsi="Times New Roman" w:cs="Times New Roman"/>
          <w:sz w:val="24"/>
          <w:szCs w:val="24"/>
        </w:rPr>
        <w:t>е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 энергопринимающи</w:t>
      </w:r>
      <w:r w:rsidR="0058149F" w:rsidRPr="00B5153E">
        <w:rPr>
          <w:rFonts w:ascii="Times New Roman" w:hAnsi="Times New Roman" w:cs="Times New Roman"/>
          <w:sz w:val="24"/>
          <w:szCs w:val="24"/>
        </w:rPr>
        <w:t>е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B5153E">
        <w:rPr>
          <w:rFonts w:ascii="Times New Roman" w:hAnsi="Times New Roman" w:cs="Times New Roman"/>
          <w:sz w:val="24"/>
          <w:szCs w:val="24"/>
        </w:rPr>
        <w:t>а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B5153E">
        <w:rPr>
          <w:rFonts w:ascii="Times New Roman" w:hAnsi="Times New Roman" w:cs="Times New Roman"/>
          <w:sz w:val="24"/>
          <w:szCs w:val="24"/>
        </w:rPr>
        <w:t>ы</w:t>
      </w:r>
      <w:r w:rsidR="00ED42E7" w:rsidRPr="00B5153E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B5153E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8C2E25" w:rsidRPr="00B5153E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53E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B5153E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B5153E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B5153E">
        <w:rPr>
          <w:rFonts w:ascii="Times New Roman" w:hAnsi="Times New Roman" w:cs="Times New Roman"/>
          <w:sz w:val="24"/>
          <w:szCs w:val="24"/>
        </w:rPr>
        <w:t>е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</w:t>
      </w:r>
      <w:r w:rsidRPr="00B5153E">
        <w:rPr>
          <w:rFonts w:ascii="Times New Roman" w:hAnsi="Times New Roman" w:cs="Times New Roman"/>
          <w:sz w:val="24"/>
          <w:szCs w:val="24"/>
        </w:rPr>
        <w:t>.</w:t>
      </w:r>
    </w:p>
    <w:p w:rsidR="00FC33E3" w:rsidRPr="00B5153E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B5153E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B515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B5153E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</w:t>
      </w:r>
      <w:r w:rsidR="00FE184E" w:rsidRPr="00B5153E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класса напряжения до границ участка, на котором расположены присоединяемые энергопринимающие устройства, составляет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не более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300 метров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в городах и поселках городского типа и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не более 500 метров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в сельской местности</w:t>
      </w:r>
      <w:r w:rsidR="00FC33E3" w:rsidRPr="00B5153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B5153E" w:rsidRDefault="00FC33E3" w:rsidP="00DE284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от сетевой организации не требуется выполнение работ по строительству (реконструкции)</w:t>
      </w:r>
      <w:r w:rsidR="00195358" w:rsidRPr="00B5153E"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r w:rsidR="00195358" w:rsidRPr="00B5153E">
        <w:rPr>
          <w:rFonts w:ascii="Times New Roman" w:hAnsi="Times New Roman" w:cs="Times New Roman"/>
          <w:sz w:val="24"/>
          <w:szCs w:val="24"/>
        </w:rPr>
        <w:lastRenderedPageBreak/>
        <w:t xml:space="preserve">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4 месяца</w:t>
      </w:r>
      <w:r w:rsidR="004F68F4" w:rsidRPr="00B51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B5153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B5153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95358" w:rsidRPr="00B5153E">
        <w:rPr>
          <w:rFonts w:ascii="Times New Roman" w:hAnsi="Times New Roman" w:cs="Times New Roman"/>
          <w:sz w:val="24"/>
          <w:szCs w:val="24"/>
        </w:rPr>
        <w:t>;</w:t>
      </w:r>
    </w:p>
    <w:p w:rsidR="00195358" w:rsidRPr="00B5153E" w:rsidRDefault="00195358" w:rsidP="00DE284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в иных случаях</w:t>
      </w:r>
      <w:r w:rsidRPr="00B5153E">
        <w:rPr>
          <w:rFonts w:ascii="Times New Roman" w:hAnsi="Times New Roman" w:cs="Times New Roman"/>
          <w:sz w:val="24"/>
          <w:szCs w:val="24"/>
        </w:rPr>
        <w:t xml:space="preserve"> – </w:t>
      </w:r>
      <w:r w:rsidRPr="00B5153E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4F68F4" w:rsidRPr="00B51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B5153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B5153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B5153E">
        <w:rPr>
          <w:rFonts w:ascii="Times New Roman" w:hAnsi="Times New Roman" w:cs="Times New Roman"/>
          <w:sz w:val="24"/>
          <w:szCs w:val="24"/>
        </w:rPr>
        <w:t>.</w:t>
      </w:r>
    </w:p>
    <w:p w:rsidR="00195358" w:rsidRPr="00B5153E" w:rsidRDefault="00FE184E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53E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B5153E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B5153E">
        <w:rPr>
          <w:rFonts w:ascii="Times New Roman" w:hAnsi="Times New Roman" w:cs="Times New Roman"/>
          <w:b/>
          <w:sz w:val="24"/>
          <w:szCs w:val="24"/>
        </w:rPr>
        <w:t>1 год</w:t>
      </w:r>
      <w:r w:rsidR="004F68F4" w:rsidRPr="00B51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B5153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B5153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25818" w:rsidRPr="00B5153E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соответствующей сетевой организации или соглашением сторон)</w:t>
      </w:r>
      <w:r w:rsidR="00195358" w:rsidRPr="00B5153E">
        <w:rPr>
          <w:rFonts w:ascii="Times New Roman" w:hAnsi="Times New Roman" w:cs="Times New Roman"/>
          <w:sz w:val="24"/>
          <w:szCs w:val="24"/>
        </w:rPr>
        <w:t>.</w:t>
      </w:r>
    </w:p>
    <w:p w:rsidR="000653F9" w:rsidRPr="00B5153E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153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271"/>
        <w:gridCol w:w="2692"/>
        <w:gridCol w:w="2262"/>
        <w:gridCol w:w="1764"/>
        <w:gridCol w:w="2634"/>
      </w:tblGrid>
      <w:tr w:rsidR="00B5153E" w:rsidRPr="00B5153E" w:rsidTr="00B51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CA183B" w:rsidRPr="00B5153E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B5153E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3" w:type="pct"/>
            <w:shd w:val="clear" w:color="auto" w:fill="FFFFFF" w:themeFill="background1"/>
          </w:tcPr>
          <w:p w:rsidR="00CA183B" w:rsidRPr="00B5153E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B5153E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CA183B" w:rsidRPr="00B5153E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B5153E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CA183B" w:rsidRPr="00B5153E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814FF8" w:rsidRPr="00B5153E" w:rsidRDefault="00872538" w:rsidP="00814FF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 с заявкой </w:t>
            </w:r>
            <w:bookmarkStart w:id="0" w:name="_GoBack"/>
            <w:bookmarkEnd w:id="0"/>
          </w:p>
          <w:p w:rsidR="00872538" w:rsidRPr="00B5153E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Пункты  8, 9, 10, 14 Правил технологического присоединения энергопринимающих устройств потребителей электрической энергии</w:t>
            </w:r>
            <w:r w:rsidRPr="00B5153E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B5153E">
              <w:rPr>
                <w:rFonts w:ascii="Times New Roman" w:hAnsi="Times New Roman" w:cs="Times New Roman"/>
              </w:rPr>
              <w:t>.</w:t>
            </w:r>
          </w:p>
        </w:tc>
      </w:tr>
      <w:tr w:rsidR="00B5153E" w:rsidRPr="00B5153E" w:rsidTr="00B5153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872538" w:rsidRPr="00B5153E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20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3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B5153E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</w:t>
            </w:r>
            <w:r w:rsidRPr="00B5153E">
              <w:rPr>
                <w:rFonts w:ascii="Times New Roman" w:hAnsi="Times New Roman" w:cs="Times New Roman"/>
              </w:rPr>
              <w:lastRenderedPageBreak/>
              <w:t>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дней со дня  получения заявки; </w:t>
            </w:r>
          </w:p>
          <w:p w:rsidR="002C56E2" w:rsidRPr="00B5153E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 отсутствия сведений  (документов) 30 дней </w:t>
            </w:r>
            <w:proofErr w:type="gramStart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2C56E2" w:rsidRPr="00B5153E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B5153E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2C56E2" w:rsidRPr="00B5153E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20" w:type="pct"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25818" w:rsidRPr="00B5153E" w:rsidRDefault="0022581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25818" w:rsidRPr="00B5153E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25818" w:rsidRPr="00B5153E" w:rsidRDefault="0022581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25818" w:rsidRPr="00B5153E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2.3 </w:t>
            </w:r>
            <w:r w:rsidR="00D7240F" w:rsidRPr="00B5153E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25818" w:rsidRPr="00B5153E" w:rsidRDefault="00D7240F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B5153E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25818" w:rsidRPr="00B5153E" w:rsidRDefault="00D7240F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25818" w:rsidRPr="00B5153E" w:rsidRDefault="00D7240F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2C56E2" w:rsidRPr="00B5153E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225818"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5153E">
              <w:rPr>
                <w:rFonts w:ascii="Times New Roman" w:hAnsi="Times New Roman" w:cs="Times New Roman"/>
              </w:rPr>
              <w:t xml:space="preserve">Сетевая организация направляет в адрес </w:t>
            </w:r>
            <w:r w:rsidRPr="00B5153E">
              <w:rPr>
                <w:rFonts w:ascii="Times New Roman" w:hAnsi="Times New Roman" w:cs="Times New Roman"/>
              </w:rPr>
              <w:lastRenderedPageBreak/>
              <w:t>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>В письменно</w:t>
            </w:r>
            <w:r w:rsidR="002A16A3" w:rsidRPr="00B5153E">
              <w:rPr>
                <w:rFonts w:ascii="Times New Roman" w:hAnsi="Times New Roman" w:cs="Times New Roman"/>
              </w:rPr>
              <w:t xml:space="preserve">й </w:t>
            </w:r>
            <w:r w:rsidRPr="00B5153E">
              <w:rPr>
                <w:rFonts w:ascii="Times New Roman" w:hAnsi="Times New Roman" w:cs="Times New Roman"/>
              </w:rPr>
              <w:t>или электронно</w:t>
            </w:r>
            <w:r w:rsidR="002A16A3" w:rsidRPr="00B5153E">
              <w:rPr>
                <w:rFonts w:ascii="Times New Roman" w:hAnsi="Times New Roman" w:cs="Times New Roman"/>
              </w:rPr>
              <w:t>й форме</w:t>
            </w:r>
          </w:p>
          <w:p w:rsidR="002C56E2" w:rsidRPr="00B5153E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B5153E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позднее 2 рабочих дней </w:t>
            </w:r>
            <w:proofErr w:type="gramStart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даты заключения</w:t>
            </w:r>
            <w:proofErr w:type="gramEnd"/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20" w:type="pct"/>
            <w:shd w:val="clear" w:color="auto" w:fill="FFFFFF" w:themeFill="background1"/>
          </w:tcPr>
          <w:p w:rsidR="002C56E2" w:rsidRPr="00B5153E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</w:t>
            </w:r>
            <w:r w:rsidRPr="00B5153E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F238C5" w:rsidRPr="00B5153E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5153E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 15, 16.1,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5153E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B500AE" w:rsidRPr="00B5153E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5153E">
              <w:rPr>
                <w:rFonts w:ascii="Times New Roman" w:hAnsi="Times New Roman" w:cs="Times New Roman"/>
              </w:rPr>
              <w:t xml:space="preserve">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 xml:space="preserve">Письменное уведомление о выполнении технических условий с приложением </w:t>
            </w:r>
            <w:r w:rsidR="002D0A0C" w:rsidRPr="00B5153E">
              <w:rPr>
                <w:rFonts w:ascii="Times New Roman" w:hAnsi="Times New Roman" w:cs="Times New Roman"/>
              </w:rPr>
              <w:t xml:space="preserve">необходимых </w:t>
            </w:r>
            <w:r w:rsidRPr="00B5153E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20" w:type="pct"/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Проверка выполнения технических </w:t>
            </w:r>
            <w:r w:rsidRPr="00B5153E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Получение сетевой организацией от заявителя 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4.1.</w:t>
            </w:r>
            <w:r w:rsidRPr="00B5153E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</w:t>
            </w:r>
            <w:r w:rsidRPr="00B5153E">
              <w:rPr>
                <w:rFonts w:ascii="Times New Roman" w:hAnsi="Times New Roman" w:cs="Times New Roman"/>
              </w:rPr>
              <w:lastRenderedPageBreak/>
              <w:t>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814FF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B500AE" w:rsidRPr="00B5153E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B5153E">
              <w:rPr>
                <w:rFonts w:ascii="Times New Roman" w:hAnsi="Times New Roman" w:cs="Times New Roman"/>
              </w:rPr>
              <w:t xml:space="preserve"> осмотра (обследования) электроустановки в </w:t>
            </w:r>
            <w:r w:rsidR="00B500AE" w:rsidRPr="00B5153E">
              <w:rPr>
                <w:rFonts w:ascii="Times New Roman" w:hAnsi="Times New Roman" w:cs="Times New Roman"/>
              </w:rPr>
              <w:lastRenderedPageBreak/>
              <w:t>письменной форме.</w:t>
            </w:r>
          </w:p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 xml:space="preserve">в течение 10 дней со дня получения от </w:t>
            </w:r>
            <w:r w:rsidRPr="00B5153E">
              <w:rPr>
                <w:rFonts w:ascii="Times New Roman" w:hAnsi="Times New Roman" w:cs="Times New Roman"/>
              </w:rPr>
              <w:lastRenderedPageBreak/>
              <w:t>заявителя документов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 xml:space="preserve">Пункты 83-89 Правил технологического присоединения </w:t>
            </w:r>
            <w:r w:rsidRPr="00B5153E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B500AE" w:rsidRPr="00B5153E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B5153E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FFFFFF" w:themeFill="background1"/>
          </w:tcPr>
          <w:p w:rsidR="00B500AE" w:rsidRPr="00B5153E" w:rsidRDefault="00814FF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B500AE" w:rsidRPr="00B5153E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B5153E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20" w:type="pct"/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B5153E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Подписание сторонами  и </w:t>
            </w:r>
            <w:r w:rsidRPr="00B5153E">
              <w:rPr>
                <w:rFonts w:ascii="Times New Roman" w:hAnsi="Times New Roman" w:cs="Times New Roman"/>
              </w:rPr>
              <w:lastRenderedPageBreak/>
              <w:t>передача Акт допуска в эксплуатацию прибора учета.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814FF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B500AE" w:rsidRPr="00B5153E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B5153E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B5153E">
              <w:t xml:space="preserve"> 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B5153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F238C5" w:rsidRPr="00B5153E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B5153E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238C5" w:rsidRPr="00B5153E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В день </w:t>
            </w:r>
            <w:r w:rsidR="00F238C5" w:rsidRPr="00B5153E">
              <w:rPr>
                <w:rFonts w:ascii="Times New Roman" w:hAnsi="Times New Roman" w:cs="Times New Roman"/>
              </w:rPr>
              <w:t>проведени</w:t>
            </w:r>
            <w:r w:rsidRPr="00B5153E">
              <w:rPr>
                <w:rFonts w:ascii="Times New Roman" w:hAnsi="Times New Roman" w:cs="Times New Roman"/>
              </w:rPr>
              <w:t>я</w:t>
            </w:r>
            <w:r w:rsidR="00F238C5" w:rsidRPr="00B5153E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920" w:type="pct"/>
            <w:shd w:val="clear" w:color="auto" w:fill="FFFFFF" w:themeFill="background1"/>
          </w:tcPr>
          <w:p w:rsidR="00F238C5" w:rsidRPr="00B5153E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4.4. </w:t>
            </w:r>
            <w:r w:rsidRPr="00B5153E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B500AE" w:rsidRPr="00B5153E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B5153E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127174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00AE" w:rsidRPr="00B5153E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872538" w:rsidRPr="00B5153E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B5153E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B5153E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</w:t>
            </w:r>
            <w:r w:rsidRPr="00B5153E">
              <w:rPr>
                <w:rFonts w:ascii="Times New Roman" w:hAnsi="Times New Roman" w:cs="Times New Roman"/>
              </w:rPr>
              <w:lastRenderedPageBreak/>
              <w:t xml:space="preserve">заявителю: </w:t>
            </w:r>
          </w:p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 xml:space="preserve">Подписанные со стороны сетевой организации Акты  в </w:t>
            </w:r>
            <w:r w:rsidRPr="00B5153E">
              <w:rPr>
                <w:rFonts w:ascii="Times New Roman" w:hAnsi="Times New Roman" w:cs="Times New Roman"/>
              </w:rPr>
              <w:lastRenderedPageBreak/>
              <w:t xml:space="preserve">письменной форме направляются </w:t>
            </w:r>
            <w:r w:rsidRPr="00B5153E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B5153E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lastRenderedPageBreak/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hAnsi="Times New Roman" w:cs="Times New Roman"/>
              </w:rPr>
              <w:t xml:space="preserve">Пункт 19 Правил технологического присоединения </w:t>
            </w:r>
            <w:r w:rsidRPr="00B5153E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B5153E" w:rsidRPr="00B5153E" w:rsidTr="00B515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872538" w:rsidRPr="00B5153E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B5153E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B5153E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B5153E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53E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2538" w:rsidRPr="00B5153E" w:rsidRDefault="00872538" w:rsidP="00DE2844">
            <w:pPr>
              <w:autoSpaceDE w:val="0"/>
              <w:autoSpaceDN w:val="0"/>
              <w:adjustRightInd w:val="0"/>
              <w:outlineLvl w:val="0"/>
            </w:pPr>
            <w:r w:rsidRPr="00B5153E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20" w:type="pct"/>
            <w:shd w:val="clear" w:color="auto" w:fill="FFFFFF" w:themeFill="background1"/>
          </w:tcPr>
          <w:p w:rsidR="00872538" w:rsidRPr="00B5153E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53E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B5153E" w:rsidRPr="00174772" w:rsidRDefault="00B5153E" w:rsidP="00B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3E" w:rsidRPr="00174772" w:rsidRDefault="00B5153E" w:rsidP="00B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B5153E" w:rsidRDefault="00B5153E" w:rsidP="00B5153E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A70CF" w:rsidRDefault="003A70CF" w:rsidP="003A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3A70CF" w:rsidSect="00B5153E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2D" w:rsidRDefault="0057192D" w:rsidP="00DC7CA8">
      <w:pPr>
        <w:spacing w:after="0" w:line="240" w:lineRule="auto"/>
      </w:pPr>
      <w:r>
        <w:separator/>
      </w:r>
    </w:p>
  </w:endnote>
  <w:endnote w:type="continuationSeparator" w:id="0">
    <w:p w:rsidR="0057192D" w:rsidRDefault="0057192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2D" w:rsidRDefault="0057192D" w:rsidP="00DC7CA8">
      <w:pPr>
        <w:spacing w:after="0" w:line="240" w:lineRule="auto"/>
      </w:pPr>
      <w:r>
        <w:separator/>
      </w:r>
    </w:p>
  </w:footnote>
  <w:footnote w:type="continuationSeparator" w:id="0">
    <w:p w:rsidR="0057192D" w:rsidRDefault="0057192D" w:rsidP="00DC7CA8">
      <w:pPr>
        <w:spacing w:after="0" w:line="240" w:lineRule="auto"/>
      </w:pPr>
      <w:r>
        <w:continuationSeparator/>
      </w:r>
    </w:p>
  </w:footnote>
  <w:footnote w:id="1">
    <w:p w:rsidR="00E427D5" w:rsidRPr="007F0938" w:rsidRDefault="00E427D5" w:rsidP="00E427D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872538" w:rsidRPr="007F0938" w:rsidRDefault="00872538" w:rsidP="00DE284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F093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F0938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B500AE" w:rsidRPr="007F0938" w:rsidRDefault="00B500AE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38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7F0938">
        <w:rPr>
          <w:rFonts w:ascii="Times New Roman" w:hAnsi="Times New Roman" w:cs="Times New Roman"/>
          <w:sz w:val="24"/>
          <w:szCs w:val="24"/>
        </w:rPr>
        <w:t xml:space="preserve"> </w:t>
      </w:r>
      <w:r w:rsidRPr="007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7F0938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C3C93"/>
    <w:rsid w:val="000D0D64"/>
    <w:rsid w:val="000E710C"/>
    <w:rsid w:val="00127174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A1715"/>
    <w:rsid w:val="001D45A0"/>
    <w:rsid w:val="00206CD3"/>
    <w:rsid w:val="00223641"/>
    <w:rsid w:val="00225818"/>
    <w:rsid w:val="0022778E"/>
    <w:rsid w:val="00231805"/>
    <w:rsid w:val="00233155"/>
    <w:rsid w:val="00242530"/>
    <w:rsid w:val="00251BEC"/>
    <w:rsid w:val="0025571B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2D0A0C"/>
    <w:rsid w:val="0032200A"/>
    <w:rsid w:val="0032230E"/>
    <w:rsid w:val="00326913"/>
    <w:rsid w:val="00347A15"/>
    <w:rsid w:val="003A6292"/>
    <w:rsid w:val="003A70CF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74330"/>
    <w:rsid w:val="004A4D60"/>
    <w:rsid w:val="004B75E4"/>
    <w:rsid w:val="004D2FC8"/>
    <w:rsid w:val="004F68F4"/>
    <w:rsid w:val="0051045A"/>
    <w:rsid w:val="0051352D"/>
    <w:rsid w:val="00524428"/>
    <w:rsid w:val="00534E9A"/>
    <w:rsid w:val="00554C9D"/>
    <w:rsid w:val="00557796"/>
    <w:rsid w:val="0057192D"/>
    <w:rsid w:val="0058149F"/>
    <w:rsid w:val="00584BD8"/>
    <w:rsid w:val="005B627E"/>
    <w:rsid w:val="005C22A7"/>
    <w:rsid w:val="005E5AAE"/>
    <w:rsid w:val="005F2F3E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967D4"/>
    <w:rsid w:val="006A3ACA"/>
    <w:rsid w:val="006D2EDE"/>
    <w:rsid w:val="006F2514"/>
    <w:rsid w:val="006F446F"/>
    <w:rsid w:val="0070128B"/>
    <w:rsid w:val="0075714D"/>
    <w:rsid w:val="00762B2B"/>
    <w:rsid w:val="00776C32"/>
    <w:rsid w:val="0078335E"/>
    <w:rsid w:val="007877ED"/>
    <w:rsid w:val="007919F1"/>
    <w:rsid w:val="007A2C8F"/>
    <w:rsid w:val="007A70DE"/>
    <w:rsid w:val="007C5088"/>
    <w:rsid w:val="007E41FA"/>
    <w:rsid w:val="007F0938"/>
    <w:rsid w:val="00806C78"/>
    <w:rsid w:val="008117CC"/>
    <w:rsid w:val="00814FF8"/>
    <w:rsid w:val="00823FF3"/>
    <w:rsid w:val="00824E68"/>
    <w:rsid w:val="008254DA"/>
    <w:rsid w:val="0082713E"/>
    <w:rsid w:val="00863174"/>
    <w:rsid w:val="0086326F"/>
    <w:rsid w:val="00872538"/>
    <w:rsid w:val="008C2E25"/>
    <w:rsid w:val="008C64E4"/>
    <w:rsid w:val="008D2E8D"/>
    <w:rsid w:val="008E16CB"/>
    <w:rsid w:val="009001F4"/>
    <w:rsid w:val="00900D71"/>
    <w:rsid w:val="00904E58"/>
    <w:rsid w:val="009721D0"/>
    <w:rsid w:val="00996EEC"/>
    <w:rsid w:val="009D7322"/>
    <w:rsid w:val="00A22C5F"/>
    <w:rsid w:val="00A44E14"/>
    <w:rsid w:val="00A474DD"/>
    <w:rsid w:val="00A61E75"/>
    <w:rsid w:val="00A705D8"/>
    <w:rsid w:val="00AD5FA7"/>
    <w:rsid w:val="00AE08E3"/>
    <w:rsid w:val="00AF67C0"/>
    <w:rsid w:val="00B04094"/>
    <w:rsid w:val="00B118E9"/>
    <w:rsid w:val="00B40D8E"/>
    <w:rsid w:val="00B500AE"/>
    <w:rsid w:val="00B5153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A183B"/>
    <w:rsid w:val="00CA1E91"/>
    <w:rsid w:val="00CC1A0A"/>
    <w:rsid w:val="00CC211B"/>
    <w:rsid w:val="00CF1785"/>
    <w:rsid w:val="00D1019A"/>
    <w:rsid w:val="00D34055"/>
    <w:rsid w:val="00D47D80"/>
    <w:rsid w:val="00D50CC7"/>
    <w:rsid w:val="00D679FC"/>
    <w:rsid w:val="00D7240F"/>
    <w:rsid w:val="00D73C9D"/>
    <w:rsid w:val="00DC03DD"/>
    <w:rsid w:val="00DC7CA8"/>
    <w:rsid w:val="00DE2844"/>
    <w:rsid w:val="00E01206"/>
    <w:rsid w:val="00E20DAF"/>
    <w:rsid w:val="00E36F56"/>
    <w:rsid w:val="00E427D5"/>
    <w:rsid w:val="00E5056E"/>
    <w:rsid w:val="00E53D9B"/>
    <w:rsid w:val="00E557B2"/>
    <w:rsid w:val="00E70070"/>
    <w:rsid w:val="00E70F7F"/>
    <w:rsid w:val="00EA53BE"/>
    <w:rsid w:val="00EC6F80"/>
    <w:rsid w:val="00ED42E7"/>
    <w:rsid w:val="00EE2C63"/>
    <w:rsid w:val="00F238C5"/>
    <w:rsid w:val="00F4184B"/>
    <w:rsid w:val="00F8604B"/>
    <w:rsid w:val="00F87578"/>
    <w:rsid w:val="00FB72A9"/>
    <w:rsid w:val="00FC139B"/>
    <w:rsid w:val="00FC1E5A"/>
    <w:rsid w:val="00FC33E3"/>
    <w:rsid w:val="00FE0A69"/>
    <w:rsid w:val="00FE184E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3A7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3A7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201F-6CEB-4623-A3A5-19A6B87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8</cp:revision>
  <cp:lastPrinted>2014-08-01T10:40:00Z</cp:lastPrinted>
  <dcterms:created xsi:type="dcterms:W3CDTF">2015-05-27T10:01:00Z</dcterms:created>
  <dcterms:modified xsi:type="dcterms:W3CDTF">2017-12-07T04:56:00Z</dcterms:modified>
</cp:coreProperties>
</file>